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C2EEE" w14:textId="77777777" w:rsidR="00280110" w:rsidRPr="0097642C" w:rsidRDefault="00280110" w:rsidP="001F725A">
      <w:pPr>
        <w:rPr>
          <w:rFonts w:cs="Times New Roman"/>
          <w:b/>
          <w:sz w:val="24"/>
          <w:szCs w:val="24"/>
        </w:rPr>
      </w:pPr>
      <w:r w:rsidRPr="0097642C">
        <w:rPr>
          <w:rFonts w:cs="Times New Roman"/>
          <w:noProof/>
          <w:color w:val="6E7582"/>
          <w:sz w:val="24"/>
          <w:szCs w:val="24"/>
          <w:lang w:val="en-US"/>
        </w:rPr>
        <w:drawing>
          <wp:inline distT="0" distB="0" distL="0" distR="0" wp14:anchorId="5B323809" wp14:editId="309C96A6">
            <wp:extent cx="1309186" cy="334800"/>
            <wp:effectExtent l="0" t="0" r="12065" b="0"/>
            <wp:docPr id="6" name="Picture 6" descr="https://lh5.googleusercontent.com/5NMhjin7b7q1cWCYP9dSv0OqGTlQULe_SUuwHEHiOaFwAnUjB_ghH8S5Se23FmOhptQCGKIVRW0cdV8vc88FBRr_VdPS1x_UZL26DumQ7pwoSegtk1bM690Q-JVvIuguWfE_x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5NMhjin7b7q1cWCYP9dSv0OqGTlQULe_SUuwHEHiOaFwAnUjB_ghH8S5Se23FmOhptQCGKIVRW0cdV8vc88FBRr_VdPS1x_UZL26DumQ7pwoSegtk1bM690Q-JVvIuguWfE_x_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9186" cy="3348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09E61261" w14:textId="77777777" w:rsidR="00280110" w:rsidRPr="0097642C" w:rsidRDefault="00280110" w:rsidP="001F725A">
      <w:pPr>
        <w:rPr>
          <w:rFonts w:cs="Times New Roman"/>
          <w:b/>
          <w:sz w:val="24"/>
          <w:szCs w:val="24"/>
        </w:rPr>
      </w:pPr>
    </w:p>
    <w:p w14:paraId="715E6441" w14:textId="057F8FEF" w:rsidR="00280110" w:rsidRPr="0097642C" w:rsidRDefault="0097642C" w:rsidP="001F725A">
      <w:pPr>
        <w:rPr>
          <w:rFonts w:cs="Times New Roman"/>
          <w:b/>
          <w:sz w:val="24"/>
          <w:szCs w:val="24"/>
        </w:rPr>
      </w:pPr>
      <w:r>
        <w:rPr>
          <w:rFonts w:cs="Times New Roman"/>
          <w:b/>
          <w:sz w:val="24"/>
          <w:szCs w:val="24"/>
        </w:rPr>
        <w:t>FOR IMMEDIATE RELEASE</w:t>
      </w:r>
      <w:r w:rsidR="00AF0324" w:rsidRPr="0097642C">
        <w:rPr>
          <w:rFonts w:cs="Times New Roman"/>
          <w:b/>
          <w:sz w:val="24"/>
          <w:szCs w:val="24"/>
        </w:rPr>
        <w:t xml:space="preserve"> </w:t>
      </w:r>
      <w:r w:rsidR="00280110" w:rsidRPr="0097642C">
        <w:rPr>
          <w:rFonts w:cs="Times New Roman"/>
          <w:b/>
          <w:sz w:val="24"/>
          <w:szCs w:val="24"/>
        </w:rPr>
        <w:t xml:space="preserve">- </w:t>
      </w:r>
      <w:r w:rsidR="00AF0324" w:rsidRPr="0097642C">
        <w:rPr>
          <w:rFonts w:cs="Times New Roman"/>
          <w:b/>
          <w:sz w:val="24"/>
          <w:szCs w:val="24"/>
        </w:rPr>
        <w:t>15</w:t>
      </w:r>
      <w:r w:rsidR="00280110" w:rsidRPr="0097642C">
        <w:rPr>
          <w:rFonts w:cs="Times New Roman"/>
          <w:b/>
          <w:sz w:val="24"/>
          <w:szCs w:val="24"/>
        </w:rPr>
        <w:t xml:space="preserve"> </w:t>
      </w:r>
      <w:r w:rsidR="00AF0324" w:rsidRPr="0097642C">
        <w:rPr>
          <w:rFonts w:cs="Times New Roman"/>
          <w:b/>
          <w:sz w:val="24"/>
          <w:szCs w:val="24"/>
        </w:rPr>
        <w:t>December</w:t>
      </w:r>
      <w:r w:rsidR="00014366" w:rsidRPr="0097642C">
        <w:rPr>
          <w:rFonts w:cs="Times New Roman"/>
          <w:b/>
          <w:sz w:val="24"/>
          <w:szCs w:val="24"/>
        </w:rPr>
        <w:t xml:space="preserve"> 2016</w:t>
      </w:r>
      <w:r w:rsidR="00880AAE" w:rsidRPr="0097642C">
        <w:rPr>
          <w:rFonts w:cs="Times New Roman"/>
          <w:b/>
          <w:sz w:val="24"/>
          <w:szCs w:val="24"/>
        </w:rPr>
        <w:t xml:space="preserve"> 08:00 GMT</w:t>
      </w:r>
    </w:p>
    <w:p w14:paraId="40C9A7FA" w14:textId="77777777" w:rsidR="00DC3AA0" w:rsidRDefault="00DC3AA0" w:rsidP="005902DC">
      <w:pPr>
        <w:rPr>
          <w:rFonts w:eastAsia="Times New Roman" w:cs="Times New Roman"/>
          <w:b/>
          <w:bCs/>
          <w:color w:val="000000"/>
          <w:sz w:val="24"/>
          <w:szCs w:val="24"/>
          <w:lang w:eastAsia="en-GB"/>
        </w:rPr>
      </w:pPr>
    </w:p>
    <w:p w14:paraId="133DFAEA" w14:textId="6F4A8C66" w:rsidR="00DC3AA0" w:rsidRPr="0052636E" w:rsidRDefault="00335731" w:rsidP="00880AAE">
      <w:pPr>
        <w:jc w:val="center"/>
        <w:rPr>
          <w:rFonts w:eastAsia="Times New Roman" w:cs="Times New Roman"/>
          <w:b/>
          <w:bCs/>
          <w:color w:val="000000"/>
          <w:sz w:val="24"/>
          <w:szCs w:val="24"/>
          <w:lang w:eastAsia="en-GB"/>
        </w:rPr>
      </w:pPr>
      <w:r>
        <w:rPr>
          <w:rFonts w:eastAsia="Times New Roman" w:cs="Times New Roman"/>
          <w:b/>
          <w:bCs/>
          <w:color w:val="000000"/>
          <w:sz w:val="24"/>
          <w:szCs w:val="24"/>
          <w:lang w:eastAsia="en-GB"/>
        </w:rPr>
        <w:t>Study</w:t>
      </w:r>
      <w:r w:rsidR="005623F4">
        <w:rPr>
          <w:rFonts w:eastAsia="Times New Roman" w:cs="Times New Roman"/>
          <w:b/>
          <w:bCs/>
          <w:color w:val="000000"/>
          <w:sz w:val="24"/>
          <w:szCs w:val="24"/>
          <w:lang w:eastAsia="en-GB"/>
        </w:rPr>
        <w:t xml:space="preserve"> reveals </w:t>
      </w:r>
      <w:r w:rsidR="00CB2BB6">
        <w:rPr>
          <w:rFonts w:eastAsia="Times New Roman" w:cs="Times New Roman"/>
          <w:b/>
          <w:bCs/>
          <w:color w:val="000000"/>
          <w:sz w:val="24"/>
          <w:szCs w:val="24"/>
          <w:lang w:eastAsia="en-GB"/>
        </w:rPr>
        <w:t>local business performance in relation to central London Tube lines</w:t>
      </w:r>
    </w:p>
    <w:p w14:paraId="0F4F7966" w14:textId="77777777" w:rsidR="0032575C" w:rsidRPr="0097642C" w:rsidRDefault="0032575C" w:rsidP="0032575C">
      <w:pPr>
        <w:jc w:val="center"/>
        <w:rPr>
          <w:rFonts w:cs="Times New Roman"/>
          <w:b/>
          <w:sz w:val="24"/>
          <w:szCs w:val="24"/>
        </w:rPr>
      </w:pPr>
    </w:p>
    <w:p w14:paraId="3B8A4683" w14:textId="3A75051F" w:rsidR="0032575C" w:rsidRPr="00A27447" w:rsidRDefault="00E20D66" w:rsidP="00A27447">
      <w:pPr>
        <w:pStyle w:val="ListParagraph"/>
        <w:numPr>
          <w:ilvl w:val="0"/>
          <w:numId w:val="6"/>
        </w:numPr>
        <w:jc w:val="center"/>
        <w:rPr>
          <w:rFonts w:cs="Times New Roman"/>
          <w:b/>
          <w:sz w:val="24"/>
          <w:szCs w:val="24"/>
        </w:rPr>
      </w:pPr>
      <w:r w:rsidRPr="00A27447">
        <w:rPr>
          <w:rFonts w:cs="Times New Roman"/>
          <w:b/>
          <w:sz w:val="24"/>
          <w:szCs w:val="24"/>
        </w:rPr>
        <w:t xml:space="preserve">Bakerloo line identified as </w:t>
      </w:r>
      <w:r w:rsidR="00304BA3" w:rsidRPr="00A27447">
        <w:rPr>
          <w:rFonts w:cs="Times New Roman"/>
          <w:b/>
          <w:sz w:val="24"/>
          <w:szCs w:val="24"/>
        </w:rPr>
        <w:t xml:space="preserve">top-performing line in both </w:t>
      </w:r>
      <w:r w:rsidR="00A27447" w:rsidRPr="00A27447">
        <w:rPr>
          <w:rFonts w:cs="Times New Roman"/>
          <w:b/>
          <w:sz w:val="24"/>
          <w:szCs w:val="24"/>
        </w:rPr>
        <w:t xml:space="preserve">annual </w:t>
      </w:r>
      <w:r w:rsidR="00304BA3" w:rsidRPr="00A27447">
        <w:rPr>
          <w:rFonts w:cs="Times New Roman"/>
          <w:b/>
          <w:sz w:val="24"/>
          <w:szCs w:val="24"/>
        </w:rPr>
        <w:t>turnover and growth</w:t>
      </w:r>
    </w:p>
    <w:p w14:paraId="28360A4D" w14:textId="77777777" w:rsidR="00880AAE" w:rsidRPr="0097642C" w:rsidRDefault="00880AAE" w:rsidP="00AF0324">
      <w:pPr>
        <w:rPr>
          <w:rFonts w:eastAsia="Times New Roman" w:cs="Times New Roman"/>
          <w:b/>
          <w:bCs/>
          <w:color w:val="000000"/>
          <w:sz w:val="24"/>
          <w:szCs w:val="24"/>
          <w:lang w:eastAsia="en-GB"/>
        </w:rPr>
      </w:pPr>
    </w:p>
    <w:p w14:paraId="61466F03" w14:textId="119D624B" w:rsidR="0052636E" w:rsidRDefault="00880AAE" w:rsidP="00AF0324">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 xml:space="preserve">DueDil, the data intelligence company that </w:t>
      </w:r>
      <w:r w:rsidR="00CB2BB6">
        <w:rPr>
          <w:rFonts w:eastAsia="Times New Roman" w:cs="Times New Roman"/>
          <w:color w:val="000000"/>
          <w:sz w:val="24"/>
          <w:szCs w:val="24"/>
          <w:lang w:eastAsia="en-GB"/>
        </w:rPr>
        <w:t>helps businesses find, verify and monitor their business relationshi</w:t>
      </w:r>
      <w:bookmarkStart w:id="0" w:name="_GoBack"/>
      <w:bookmarkEnd w:id="0"/>
      <w:r w:rsidR="00CB2BB6">
        <w:rPr>
          <w:rFonts w:eastAsia="Times New Roman" w:cs="Times New Roman"/>
          <w:color w:val="000000"/>
          <w:sz w:val="24"/>
          <w:szCs w:val="24"/>
          <w:lang w:eastAsia="en-GB"/>
        </w:rPr>
        <w:t>ps</w:t>
      </w:r>
      <w:r w:rsidRPr="0097642C">
        <w:rPr>
          <w:rFonts w:eastAsia="Times New Roman" w:cs="Times New Roman"/>
          <w:color w:val="000000"/>
          <w:sz w:val="24"/>
          <w:szCs w:val="24"/>
          <w:lang w:eastAsia="en-GB"/>
        </w:rPr>
        <w:t>, has</w:t>
      </w:r>
      <w:r w:rsidR="0052636E">
        <w:rPr>
          <w:rFonts w:eastAsia="Times New Roman" w:cs="Times New Roman"/>
          <w:color w:val="000000"/>
          <w:sz w:val="24"/>
          <w:szCs w:val="24"/>
          <w:lang w:eastAsia="en-GB"/>
        </w:rPr>
        <w:t xml:space="preserve"> identified the top</w:t>
      </w:r>
      <w:r w:rsidR="00E20D66">
        <w:rPr>
          <w:rFonts w:eastAsia="Times New Roman" w:cs="Times New Roman"/>
          <w:color w:val="000000"/>
          <w:sz w:val="24"/>
          <w:szCs w:val="24"/>
          <w:lang w:eastAsia="en-GB"/>
        </w:rPr>
        <w:t>-</w:t>
      </w:r>
      <w:r w:rsidR="0052636E">
        <w:rPr>
          <w:rFonts w:eastAsia="Times New Roman" w:cs="Times New Roman"/>
          <w:color w:val="000000"/>
          <w:sz w:val="24"/>
          <w:szCs w:val="24"/>
          <w:lang w:eastAsia="en-GB"/>
        </w:rPr>
        <w:t xml:space="preserve">performing Tube lines in Zone 1 based on business turnover and growth. </w:t>
      </w:r>
    </w:p>
    <w:p w14:paraId="3D0E8622" w14:textId="77777777" w:rsidR="00880AAE" w:rsidRDefault="00880AAE" w:rsidP="00AF0324">
      <w:pPr>
        <w:rPr>
          <w:rFonts w:eastAsia="Times New Roman" w:cs="Times New Roman"/>
          <w:color w:val="000000"/>
          <w:sz w:val="24"/>
          <w:szCs w:val="24"/>
          <w:lang w:eastAsia="en-GB"/>
        </w:rPr>
      </w:pPr>
    </w:p>
    <w:p w14:paraId="4FD81BE6" w14:textId="43A5D9E8" w:rsidR="0052636E" w:rsidRDefault="0052636E" w:rsidP="00AF0324">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The study reveals that </w:t>
      </w:r>
      <w:r w:rsidR="00036323">
        <w:rPr>
          <w:rFonts w:eastAsia="Times New Roman" w:cs="Times New Roman"/>
          <w:color w:val="000000"/>
          <w:sz w:val="24"/>
          <w:szCs w:val="24"/>
          <w:lang w:eastAsia="en-GB"/>
        </w:rPr>
        <w:t xml:space="preserve">companies on </w:t>
      </w:r>
      <w:r>
        <w:rPr>
          <w:rFonts w:eastAsia="Times New Roman" w:cs="Times New Roman"/>
          <w:color w:val="000000"/>
          <w:sz w:val="24"/>
          <w:szCs w:val="24"/>
          <w:lang w:eastAsia="en-GB"/>
        </w:rPr>
        <w:t xml:space="preserve">the Bakerloo line </w:t>
      </w:r>
      <w:r w:rsidR="00CB2BB6">
        <w:rPr>
          <w:rFonts w:eastAsia="Times New Roman" w:cs="Times New Roman"/>
          <w:color w:val="000000"/>
          <w:sz w:val="24"/>
          <w:szCs w:val="24"/>
          <w:lang w:eastAsia="en-GB"/>
        </w:rPr>
        <w:t>represent</w:t>
      </w:r>
      <w:r w:rsidR="00036323">
        <w:rPr>
          <w:rFonts w:eastAsia="Times New Roman" w:cs="Times New Roman"/>
          <w:color w:val="000000"/>
          <w:sz w:val="24"/>
          <w:szCs w:val="24"/>
          <w:lang w:eastAsia="en-GB"/>
        </w:rPr>
        <w:t xml:space="preserve"> both </w:t>
      </w:r>
      <w:r w:rsidR="00CB2BB6">
        <w:rPr>
          <w:rFonts w:eastAsia="Times New Roman" w:cs="Times New Roman"/>
          <w:color w:val="000000"/>
          <w:sz w:val="24"/>
          <w:szCs w:val="24"/>
          <w:lang w:eastAsia="en-GB"/>
        </w:rPr>
        <w:t xml:space="preserve">the highest </w:t>
      </w:r>
      <w:r w:rsidR="00036323">
        <w:rPr>
          <w:rFonts w:eastAsia="Times New Roman" w:cs="Times New Roman"/>
          <w:color w:val="000000"/>
          <w:sz w:val="24"/>
          <w:szCs w:val="24"/>
          <w:lang w:eastAsia="en-GB"/>
        </w:rPr>
        <w:t xml:space="preserve">average annual turnover and </w:t>
      </w:r>
      <w:r w:rsidR="00CB2BB6">
        <w:rPr>
          <w:rFonts w:eastAsia="Times New Roman" w:cs="Times New Roman"/>
          <w:color w:val="000000"/>
          <w:sz w:val="24"/>
          <w:szCs w:val="24"/>
          <w:lang w:eastAsia="en-GB"/>
        </w:rPr>
        <w:t xml:space="preserve">average </w:t>
      </w:r>
      <w:r w:rsidR="00036323">
        <w:rPr>
          <w:rFonts w:eastAsia="Times New Roman" w:cs="Times New Roman"/>
          <w:color w:val="000000"/>
          <w:sz w:val="24"/>
          <w:szCs w:val="24"/>
          <w:lang w:eastAsia="en-GB"/>
        </w:rPr>
        <w:t>growth rate</w:t>
      </w:r>
      <w:r w:rsidR="00CB2BB6">
        <w:rPr>
          <w:rFonts w:eastAsia="Times New Roman" w:cs="Times New Roman"/>
          <w:color w:val="000000"/>
          <w:sz w:val="24"/>
          <w:szCs w:val="24"/>
          <w:lang w:eastAsia="en-GB"/>
        </w:rPr>
        <w:t xml:space="preserve"> when compared to businesses adjacent to other lines</w:t>
      </w:r>
      <w:r w:rsidR="00036323">
        <w:rPr>
          <w:rFonts w:eastAsia="Times New Roman" w:cs="Times New Roman"/>
          <w:color w:val="000000"/>
          <w:sz w:val="24"/>
          <w:szCs w:val="24"/>
          <w:lang w:eastAsia="en-GB"/>
        </w:rPr>
        <w:t xml:space="preserve">.  </w:t>
      </w:r>
    </w:p>
    <w:p w14:paraId="7BE68FD9" w14:textId="77777777" w:rsidR="007E5E8E" w:rsidRDefault="007E5E8E" w:rsidP="00AF0324">
      <w:pPr>
        <w:rPr>
          <w:rFonts w:eastAsia="Times New Roman" w:cs="Times New Roman"/>
          <w:color w:val="000000"/>
          <w:sz w:val="24"/>
          <w:szCs w:val="24"/>
          <w:lang w:eastAsia="en-GB"/>
        </w:rPr>
      </w:pPr>
    </w:p>
    <w:p w14:paraId="572969B9" w14:textId="52B820C6" w:rsidR="007E5E8E" w:rsidRDefault="003B0DE0" w:rsidP="00AF0324">
      <w:pPr>
        <w:rPr>
          <w:rFonts w:eastAsia="Times New Roman" w:cs="Times New Roman"/>
          <w:color w:val="000000"/>
          <w:sz w:val="24"/>
          <w:szCs w:val="24"/>
          <w:lang w:eastAsia="en-GB"/>
        </w:rPr>
      </w:pPr>
      <w:r>
        <w:rPr>
          <w:noProof/>
          <w:lang w:val="en-US"/>
        </w:rPr>
        <w:drawing>
          <wp:inline distT="0" distB="0" distL="0" distR="0" wp14:anchorId="7CCE368D" wp14:editId="5CEAC3D5">
            <wp:extent cx="5727700" cy="3010437"/>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3010437"/>
                    </a:xfrm>
                    <a:prstGeom prst="rect">
                      <a:avLst/>
                    </a:prstGeom>
                  </pic:spPr>
                </pic:pic>
              </a:graphicData>
            </a:graphic>
          </wp:inline>
        </w:drawing>
      </w:r>
    </w:p>
    <w:p w14:paraId="6F70BAB8" w14:textId="77777777" w:rsidR="003B0DE0" w:rsidRDefault="003B0DE0" w:rsidP="00AF0324">
      <w:pPr>
        <w:rPr>
          <w:rFonts w:eastAsia="Times New Roman" w:cs="Times New Roman"/>
          <w:color w:val="000000"/>
          <w:sz w:val="24"/>
          <w:szCs w:val="24"/>
          <w:lang w:eastAsia="en-GB"/>
        </w:rPr>
      </w:pPr>
    </w:p>
    <w:p w14:paraId="70F53EA3" w14:textId="6AEA0FC3" w:rsidR="00035357" w:rsidRDefault="00035357" w:rsidP="002468E3">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Every Tube line achieved an average annual growth rate of at least 15%, </w:t>
      </w:r>
      <w:r w:rsidR="00C344BA">
        <w:rPr>
          <w:rFonts w:eastAsia="Times New Roman" w:cs="Times New Roman"/>
          <w:color w:val="000000"/>
          <w:sz w:val="24"/>
          <w:szCs w:val="24"/>
          <w:lang w:eastAsia="en-GB"/>
        </w:rPr>
        <w:t>and averaged 18.69% across the lines. This compares favourably businesses across the rest of the UK, which have an average growth of 13.64%</w:t>
      </w:r>
    </w:p>
    <w:p w14:paraId="0B70E94E" w14:textId="77777777" w:rsidR="00035357" w:rsidRDefault="00035357" w:rsidP="002468E3">
      <w:pPr>
        <w:rPr>
          <w:rFonts w:eastAsia="Times New Roman" w:cs="Times New Roman"/>
          <w:color w:val="000000"/>
          <w:sz w:val="24"/>
          <w:szCs w:val="24"/>
          <w:lang w:eastAsia="en-GB"/>
        </w:rPr>
      </w:pPr>
    </w:p>
    <w:p w14:paraId="29938466" w14:textId="05C5CEAA" w:rsidR="002468E3" w:rsidRDefault="002468E3" w:rsidP="002468E3">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Among individual stations, Waterloo has the highest average turnover and Bayswater has the highest average growth rate. </w:t>
      </w:r>
    </w:p>
    <w:p w14:paraId="1B4B0F54" w14:textId="77777777" w:rsidR="002468E3" w:rsidRDefault="002468E3" w:rsidP="002468E3">
      <w:pPr>
        <w:rPr>
          <w:rFonts w:eastAsia="Times New Roman" w:cs="Times New Roman"/>
          <w:color w:val="000000"/>
          <w:sz w:val="24"/>
          <w:szCs w:val="24"/>
          <w:lang w:eastAsia="en-GB"/>
        </w:rPr>
      </w:pPr>
    </w:p>
    <w:p w14:paraId="2997CDED" w14:textId="77777777" w:rsidR="002468E3" w:rsidRDefault="002468E3" w:rsidP="002468E3">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Companies included in the study were required to have a reported annual turnover in excess of £5 million and have a registered trading address in central London. The 11,475 companies that fit these criteria were subsequently mapped to their closest Zone 1 Tube station using latitude and longitude information from Postcode.io. </w:t>
      </w:r>
    </w:p>
    <w:p w14:paraId="3FC3D0B8" w14:textId="77777777" w:rsidR="002468E3" w:rsidRDefault="002468E3" w:rsidP="002468E3">
      <w:pPr>
        <w:rPr>
          <w:rFonts w:eastAsia="Times New Roman" w:cs="Times New Roman"/>
          <w:color w:val="000000"/>
          <w:sz w:val="24"/>
          <w:szCs w:val="24"/>
          <w:lang w:eastAsia="en-GB"/>
        </w:rPr>
      </w:pPr>
    </w:p>
    <w:p w14:paraId="5B5F8528" w14:textId="356799D2" w:rsidR="00356910" w:rsidRDefault="002468E3" w:rsidP="00AF0324">
      <w:pPr>
        <w:rPr>
          <w:rFonts w:eastAsia="Times New Roman" w:cs="Times New Roman"/>
          <w:color w:val="000000"/>
          <w:sz w:val="24"/>
          <w:szCs w:val="24"/>
          <w:lang w:eastAsia="en-GB"/>
        </w:rPr>
      </w:pPr>
      <w:r>
        <w:rPr>
          <w:rFonts w:eastAsia="Times New Roman" w:cs="Times New Roman"/>
          <w:color w:val="000000"/>
          <w:sz w:val="24"/>
          <w:szCs w:val="24"/>
          <w:lang w:eastAsia="en-GB"/>
        </w:rPr>
        <w:t>The Waterloo &amp; City line is excluded from the results as it consists of only two stations, which does not offer a fair comparison with other lines.</w:t>
      </w:r>
    </w:p>
    <w:p w14:paraId="3E2F3BE8" w14:textId="77777777" w:rsidR="00335731" w:rsidRDefault="00335731" w:rsidP="00AF0324">
      <w:pPr>
        <w:rPr>
          <w:rFonts w:eastAsia="Times New Roman" w:cs="Times New Roman"/>
          <w:color w:val="000000"/>
          <w:sz w:val="24"/>
          <w:szCs w:val="24"/>
          <w:lang w:eastAsia="en-GB"/>
        </w:rPr>
      </w:pPr>
    </w:p>
    <w:p w14:paraId="25F42FDB" w14:textId="64C394C5" w:rsidR="00335731" w:rsidRPr="00A2710C" w:rsidRDefault="00335731" w:rsidP="00AF0324">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 xml:space="preserve">Waterloo has the highest average annual turnover </w:t>
      </w:r>
      <w:r w:rsidRPr="00A2710C">
        <w:rPr>
          <w:rFonts w:eastAsia="Times New Roman" w:cs="Times New Roman"/>
          <w:color w:val="000000"/>
          <w:sz w:val="24"/>
          <w:szCs w:val="24"/>
          <w:lang w:eastAsia="en-GB"/>
        </w:rPr>
        <w:t xml:space="preserve">at </w:t>
      </w:r>
      <w:r w:rsidRPr="00A2710C">
        <w:rPr>
          <w:rFonts w:eastAsia="Times New Roman" w:cs="Times New Roman"/>
          <w:bCs/>
          <w:color w:val="000000"/>
          <w:sz w:val="24"/>
          <w:szCs w:val="24"/>
          <w:lang w:eastAsia="en-GB"/>
        </w:rPr>
        <w:t>£2,536,771,284</w:t>
      </w:r>
      <w:r w:rsidRPr="00A2710C">
        <w:rPr>
          <w:rFonts w:eastAsia="Times New Roman" w:cs="Times New Roman"/>
          <w:color w:val="000000"/>
          <w:sz w:val="24"/>
          <w:szCs w:val="24"/>
          <w:lang w:eastAsia="en-GB"/>
        </w:rPr>
        <w:t xml:space="preserve"> (</w:t>
      </w:r>
      <w:r w:rsidRPr="00A2710C">
        <w:rPr>
          <w:rFonts w:eastAsia="Times New Roman" w:cs="Times New Roman"/>
          <w:bCs/>
          <w:color w:val="000000"/>
          <w:sz w:val="24"/>
          <w:szCs w:val="24"/>
          <w:lang w:eastAsia="en-GB"/>
        </w:rPr>
        <w:t>£2.53 billion</w:t>
      </w:r>
      <w:r w:rsidRPr="00A2710C">
        <w:rPr>
          <w:rFonts w:eastAsia="Times New Roman" w:cs="Times New Roman"/>
          <w:color w:val="000000"/>
          <w:sz w:val="24"/>
          <w:szCs w:val="24"/>
          <w:lang w:eastAsia="en-GB"/>
        </w:rPr>
        <w:t>). It is followed by Paddington (</w:t>
      </w:r>
      <w:r w:rsidRPr="00A2710C">
        <w:rPr>
          <w:rFonts w:eastAsia="Times New Roman" w:cs="Times New Roman"/>
          <w:bCs/>
          <w:color w:val="000000"/>
          <w:sz w:val="24"/>
          <w:szCs w:val="24"/>
          <w:lang w:eastAsia="en-GB"/>
        </w:rPr>
        <w:t>£783 million</w:t>
      </w:r>
      <w:r w:rsidRPr="00A2710C">
        <w:rPr>
          <w:rFonts w:eastAsia="Times New Roman" w:cs="Times New Roman"/>
          <w:color w:val="000000"/>
          <w:sz w:val="24"/>
          <w:szCs w:val="24"/>
          <w:lang w:eastAsia="en-GB"/>
        </w:rPr>
        <w:t>), Victoria (</w:t>
      </w:r>
      <w:r w:rsidRPr="00A2710C">
        <w:rPr>
          <w:rFonts w:eastAsia="Times New Roman" w:cs="Times New Roman"/>
          <w:bCs/>
          <w:color w:val="000000"/>
          <w:sz w:val="24"/>
          <w:szCs w:val="24"/>
          <w:lang w:eastAsia="en-GB"/>
        </w:rPr>
        <w:t>£575 million</w:t>
      </w:r>
      <w:r w:rsidRPr="00A2710C">
        <w:rPr>
          <w:rFonts w:eastAsia="Times New Roman" w:cs="Times New Roman"/>
          <w:color w:val="000000"/>
          <w:sz w:val="24"/>
          <w:szCs w:val="24"/>
          <w:lang w:eastAsia="en-GB"/>
        </w:rPr>
        <w:t>), Cannon Street (</w:t>
      </w:r>
      <w:r w:rsidRPr="00A2710C">
        <w:rPr>
          <w:rFonts w:eastAsia="Times New Roman" w:cs="Times New Roman"/>
          <w:bCs/>
          <w:color w:val="000000"/>
          <w:sz w:val="24"/>
          <w:szCs w:val="24"/>
          <w:lang w:eastAsia="en-GB"/>
        </w:rPr>
        <w:t>£447 million</w:t>
      </w:r>
      <w:r w:rsidRPr="00A2710C">
        <w:rPr>
          <w:rFonts w:eastAsia="Times New Roman" w:cs="Times New Roman"/>
          <w:color w:val="000000"/>
          <w:sz w:val="24"/>
          <w:szCs w:val="24"/>
          <w:lang w:eastAsia="en-GB"/>
        </w:rPr>
        <w:t>) and St. Paul's (</w:t>
      </w:r>
      <w:r w:rsidRPr="00A2710C">
        <w:rPr>
          <w:rFonts w:eastAsia="Times New Roman" w:cs="Times New Roman"/>
          <w:bCs/>
          <w:color w:val="000000"/>
          <w:sz w:val="24"/>
          <w:szCs w:val="24"/>
          <w:lang w:eastAsia="en-GB"/>
        </w:rPr>
        <w:t>£283 million</w:t>
      </w:r>
      <w:r w:rsidRPr="00A2710C">
        <w:rPr>
          <w:rFonts w:eastAsia="Times New Roman" w:cs="Times New Roman"/>
          <w:color w:val="000000"/>
          <w:sz w:val="24"/>
          <w:szCs w:val="24"/>
          <w:lang w:eastAsia="en-GB"/>
        </w:rPr>
        <w:t xml:space="preserve">). </w:t>
      </w:r>
    </w:p>
    <w:p w14:paraId="7A844803" w14:textId="77777777" w:rsidR="00356910" w:rsidRDefault="00356910" w:rsidP="00AF0324">
      <w:pPr>
        <w:rPr>
          <w:rFonts w:eastAsia="Times New Roman" w:cs="Times New Roman"/>
          <w:color w:val="000000"/>
          <w:sz w:val="24"/>
          <w:szCs w:val="24"/>
          <w:lang w:eastAsia="en-GB"/>
        </w:rPr>
      </w:pPr>
    </w:p>
    <w:p w14:paraId="004F92B2" w14:textId="3CC10ECB" w:rsidR="00335731" w:rsidRDefault="00335731" w:rsidP="00AF0324">
      <w:pPr>
        <w:rPr>
          <w:rFonts w:eastAsia="Times New Roman" w:cs="Times New Roman"/>
          <w:color w:val="000000"/>
          <w:sz w:val="24"/>
          <w:szCs w:val="24"/>
          <w:lang w:eastAsia="en-GB"/>
        </w:rPr>
      </w:pPr>
      <w:r>
        <w:rPr>
          <w:rFonts w:eastAsia="Times New Roman" w:cs="Times New Roman"/>
          <w:color w:val="000000"/>
          <w:sz w:val="24"/>
          <w:szCs w:val="24"/>
          <w:lang w:eastAsia="en-GB"/>
        </w:rPr>
        <w:t>The high average turnover of companies local to Waterloo is primarily due to the presence of Royal Dutch Shell Group PLC and its subsidiary, Shell Trading International Limited. Both companies rank in the top three for annual turnover among all businesses included in the study.</w:t>
      </w:r>
    </w:p>
    <w:p w14:paraId="34822844" w14:textId="77777777" w:rsidR="00335731" w:rsidRPr="0097642C" w:rsidRDefault="00335731" w:rsidP="00AF0324">
      <w:pPr>
        <w:rPr>
          <w:rFonts w:eastAsia="Times New Roman" w:cs="Times New Roman"/>
          <w:color w:val="000000"/>
          <w:sz w:val="24"/>
          <w:szCs w:val="24"/>
          <w:lang w:eastAsia="en-GB"/>
        </w:rPr>
      </w:pPr>
    </w:p>
    <w:p w14:paraId="7A8D5D0E" w14:textId="3EE3986B" w:rsidR="00AF0324" w:rsidRPr="0097642C" w:rsidRDefault="00335731" w:rsidP="00AF0324">
      <w:pPr>
        <w:rPr>
          <w:rFonts w:eastAsia="Times New Roman" w:cs="Times New Roman"/>
          <w:sz w:val="24"/>
          <w:szCs w:val="24"/>
          <w:lang w:eastAsia="en-GB"/>
        </w:rPr>
      </w:pPr>
      <w:r>
        <w:rPr>
          <w:noProof/>
          <w:lang w:val="en-US"/>
        </w:rPr>
        <w:drawing>
          <wp:inline distT="0" distB="0" distL="0" distR="0" wp14:anchorId="3C5B05F5" wp14:editId="26793356">
            <wp:extent cx="5517246" cy="29432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2835"/>
                    <a:stretch/>
                  </pic:blipFill>
                  <pic:spPr bwMode="auto">
                    <a:xfrm>
                      <a:off x="0" y="0"/>
                      <a:ext cx="5545907" cy="2958514"/>
                    </a:xfrm>
                    <a:prstGeom prst="rect">
                      <a:avLst/>
                    </a:prstGeom>
                    <a:ln>
                      <a:noFill/>
                    </a:ln>
                    <a:extLst>
                      <a:ext uri="{53640926-AAD7-44d8-BBD7-CCE9431645EC}">
                        <a14:shadowObscured xmlns:a14="http://schemas.microsoft.com/office/drawing/2010/main"/>
                      </a:ext>
                    </a:extLst>
                  </pic:spPr>
                </pic:pic>
              </a:graphicData>
            </a:graphic>
          </wp:inline>
        </w:drawing>
      </w:r>
    </w:p>
    <w:p w14:paraId="5186993C" w14:textId="77777777" w:rsidR="00335731" w:rsidRDefault="00335731" w:rsidP="00AF0324">
      <w:pPr>
        <w:rPr>
          <w:rFonts w:eastAsia="Times New Roman" w:cs="Times New Roman"/>
          <w:color w:val="000000"/>
          <w:sz w:val="24"/>
          <w:szCs w:val="24"/>
          <w:lang w:eastAsia="en-GB"/>
        </w:rPr>
      </w:pPr>
    </w:p>
    <w:p w14:paraId="5CD5362C" w14:textId="004687CC" w:rsidR="003447C4" w:rsidRDefault="00335731" w:rsidP="00AF0324">
      <w:pPr>
        <w:rPr>
          <w:rFonts w:eastAsia="Times New Roman" w:cs="Times New Roman"/>
          <w:color w:val="000000"/>
          <w:sz w:val="24"/>
          <w:szCs w:val="24"/>
          <w:lang w:eastAsia="en-GB"/>
        </w:rPr>
      </w:pPr>
      <w:r w:rsidRPr="00A2710C">
        <w:rPr>
          <w:rFonts w:eastAsia="Times New Roman" w:cs="Times New Roman"/>
          <w:color w:val="000000"/>
          <w:sz w:val="24"/>
          <w:szCs w:val="24"/>
          <w:lang w:eastAsia="en-GB"/>
        </w:rPr>
        <w:t xml:space="preserve">Bayswater has the highest average growth rate at </w:t>
      </w:r>
      <w:r w:rsidRPr="00A2710C">
        <w:rPr>
          <w:rFonts w:eastAsia="Times New Roman" w:cs="Times New Roman"/>
          <w:bCs/>
          <w:color w:val="000000"/>
          <w:sz w:val="24"/>
          <w:szCs w:val="24"/>
          <w:lang w:eastAsia="en-GB"/>
        </w:rPr>
        <w:t>77.75%</w:t>
      </w:r>
      <w:r w:rsidRPr="00A2710C">
        <w:rPr>
          <w:rFonts w:eastAsia="Times New Roman" w:cs="Times New Roman"/>
          <w:color w:val="000000"/>
          <w:sz w:val="24"/>
          <w:szCs w:val="24"/>
          <w:lang w:eastAsia="en-GB"/>
        </w:rPr>
        <w:t xml:space="preserve">. </w:t>
      </w:r>
      <w:proofErr w:type="gramStart"/>
      <w:r w:rsidRPr="00A2710C">
        <w:rPr>
          <w:rFonts w:eastAsia="Times New Roman" w:cs="Times New Roman"/>
          <w:color w:val="000000"/>
          <w:sz w:val="24"/>
          <w:szCs w:val="24"/>
          <w:lang w:eastAsia="en-GB"/>
        </w:rPr>
        <w:t>The station is followed by Gloucester Road (</w:t>
      </w:r>
      <w:r w:rsidRPr="00A2710C">
        <w:rPr>
          <w:rFonts w:eastAsia="Times New Roman" w:cs="Times New Roman"/>
          <w:bCs/>
          <w:color w:val="000000"/>
          <w:sz w:val="24"/>
          <w:szCs w:val="24"/>
          <w:lang w:eastAsia="en-GB"/>
        </w:rPr>
        <w:t>66.72%</w:t>
      </w:r>
      <w:r w:rsidRPr="00A2710C">
        <w:rPr>
          <w:rFonts w:eastAsia="Times New Roman" w:cs="Times New Roman"/>
          <w:color w:val="000000"/>
          <w:sz w:val="24"/>
          <w:szCs w:val="24"/>
          <w:lang w:eastAsia="en-GB"/>
        </w:rPr>
        <w:t>), Embankment (</w:t>
      </w:r>
      <w:r w:rsidRPr="00A2710C">
        <w:rPr>
          <w:rFonts w:eastAsia="Times New Roman" w:cs="Times New Roman"/>
          <w:bCs/>
          <w:color w:val="000000"/>
          <w:sz w:val="24"/>
          <w:szCs w:val="24"/>
          <w:lang w:eastAsia="en-GB"/>
        </w:rPr>
        <w:t>44.73%</w:t>
      </w:r>
      <w:r w:rsidRPr="00A2710C">
        <w:rPr>
          <w:rFonts w:eastAsia="Times New Roman" w:cs="Times New Roman"/>
          <w:color w:val="000000"/>
          <w:sz w:val="24"/>
          <w:szCs w:val="24"/>
          <w:lang w:eastAsia="en-GB"/>
        </w:rPr>
        <w:t>), Warren Street (</w:t>
      </w:r>
      <w:r w:rsidRPr="00A2710C">
        <w:rPr>
          <w:rFonts w:eastAsia="Times New Roman" w:cs="Times New Roman"/>
          <w:bCs/>
          <w:color w:val="000000"/>
          <w:sz w:val="24"/>
          <w:szCs w:val="24"/>
          <w:lang w:eastAsia="en-GB"/>
        </w:rPr>
        <w:t>35%</w:t>
      </w:r>
      <w:r w:rsidRPr="00A2710C">
        <w:rPr>
          <w:rFonts w:eastAsia="Times New Roman" w:cs="Times New Roman"/>
          <w:color w:val="000000"/>
          <w:sz w:val="24"/>
          <w:szCs w:val="24"/>
          <w:lang w:eastAsia="en-GB"/>
        </w:rPr>
        <w:t>) and Mansion House</w:t>
      </w:r>
      <w:proofErr w:type="gramEnd"/>
      <w:r w:rsidRPr="00A2710C">
        <w:rPr>
          <w:rFonts w:eastAsia="Times New Roman" w:cs="Times New Roman"/>
          <w:color w:val="000000"/>
          <w:sz w:val="24"/>
          <w:szCs w:val="24"/>
          <w:lang w:eastAsia="en-GB"/>
        </w:rPr>
        <w:t xml:space="preserve"> (</w:t>
      </w:r>
      <w:r w:rsidRPr="00A2710C">
        <w:rPr>
          <w:rFonts w:eastAsia="Times New Roman" w:cs="Times New Roman"/>
          <w:bCs/>
          <w:color w:val="000000"/>
          <w:sz w:val="24"/>
          <w:szCs w:val="24"/>
          <w:lang w:eastAsia="en-GB"/>
        </w:rPr>
        <w:t>33.84%</w:t>
      </w:r>
      <w:r w:rsidRPr="00A2710C">
        <w:rPr>
          <w:rFonts w:eastAsia="Times New Roman" w:cs="Times New Roman"/>
          <w:color w:val="000000"/>
          <w:sz w:val="24"/>
          <w:szCs w:val="24"/>
          <w:lang w:eastAsia="en-GB"/>
        </w:rPr>
        <w:t xml:space="preserve">). </w:t>
      </w:r>
    </w:p>
    <w:p w14:paraId="2CD444F9" w14:textId="77777777" w:rsidR="00C344BA" w:rsidRDefault="00C344BA" w:rsidP="00AF0324">
      <w:pPr>
        <w:rPr>
          <w:rFonts w:eastAsia="Times New Roman" w:cs="Times New Roman"/>
          <w:color w:val="000000"/>
          <w:sz w:val="24"/>
          <w:szCs w:val="24"/>
          <w:lang w:eastAsia="en-GB"/>
        </w:rPr>
      </w:pPr>
    </w:p>
    <w:p w14:paraId="238CE9B0" w14:textId="3681FD54" w:rsidR="00AF0324" w:rsidRPr="0097642C" w:rsidRDefault="00335731" w:rsidP="00AF0324">
      <w:pPr>
        <w:rPr>
          <w:rFonts w:eastAsia="Times New Roman" w:cs="Times New Roman"/>
          <w:sz w:val="24"/>
          <w:szCs w:val="24"/>
          <w:lang w:eastAsia="en-GB"/>
        </w:rPr>
      </w:pPr>
      <w:r>
        <w:rPr>
          <w:noProof/>
          <w:lang w:val="en-US"/>
        </w:rPr>
        <w:drawing>
          <wp:inline distT="0" distB="0" distL="0" distR="0" wp14:anchorId="33E03F81" wp14:editId="361A7EC1">
            <wp:extent cx="5534025" cy="292519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7219" cy="2932171"/>
                    </a:xfrm>
                    <a:prstGeom prst="rect">
                      <a:avLst/>
                    </a:prstGeom>
                  </pic:spPr>
                </pic:pic>
              </a:graphicData>
            </a:graphic>
          </wp:inline>
        </w:drawing>
      </w:r>
    </w:p>
    <w:p w14:paraId="3BB34178" w14:textId="77777777" w:rsidR="00AF0324" w:rsidRDefault="00AF0324" w:rsidP="00AF0324">
      <w:pPr>
        <w:rPr>
          <w:rFonts w:eastAsia="Times New Roman" w:cs="Times New Roman"/>
          <w:sz w:val="24"/>
          <w:szCs w:val="24"/>
          <w:lang w:eastAsia="en-GB"/>
        </w:rPr>
      </w:pPr>
    </w:p>
    <w:p w14:paraId="1A47DF13" w14:textId="77777777" w:rsidR="00BE74EB" w:rsidRDefault="00BE74EB" w:rsidP="00D254C7">
      <w:pPr>
        <w:rPr>
          <w:rFonts w:cs="Times New Roman"/>
          <w:sz w:val="24"/>
          <w:szCs w:val="24"/>
        </w:rPr>
      </w:pPr>
    </w:p>
    <w:p w14:paraId="1C21BABB" w14:textId="77777777" w:rsidR="00D254C7" w:rsidRPr="0097642C" w:rsidRDefault="00D254C7" w:rsidP="00D254C7">
      <w:pPr>
        <w:rPr>
          <w:rFonts w:cs="Times New Roman"/>
          <w:sz w:val="24"/>
          <w:szCs w:val="24"/>
        </w:rPr>
      </w:pPr>
      <w:r w:rsidRPr="0097642C">
        <w:rPr>
          <w:rFonts w:cs="Times New Roman"/>
          <w:sz w:val="24"/>
          <w:szCs w:val="24"/>
        </w:rPr>
        <w:t>-ENDS-</w:t>
      </w:r>
    </w:p>
    <w:p w14:paraId="41E09B5F" w14:textId="77777777" w:rsidR="0092155D" w:rsidRDefault="0092155D" w:rsidP="00AF0324">
      <w:pPr>
        <w:rPr>
          <w:rFonts w:eastAsia="Times New Roman" w:cs="Times New Roman"/>
          <w:sz w:val="24"/>
          <w:szCs w:val="24"/>
          <w:lang w:eastAsia="en-GB"/>
        </w:rPr>
      </w:pPr>
    </w:p>
    <w:p w14:paraId="524592AD" w14:textId="77777777" w:rsidR="00BE74EB" w:rsidRDefault="00BE74EB" w:rsidP="00AF0324">
      <w:pPr>
        <w:rPr>
          <w:rFonts w:eastAsia="Times New Roman" w:cs="Times New Roman"/>
          <w:sz w:val="24"/>
          <w:szCs w:val="24"/>
          <w:lang w:eastAsia="en-GB"/>
        </w:rPr>
      </w:pPr>
    </w:p>
    <w:p w14:paraId="57C8ED44" w14:textId="77777777" w:rsidR="00AF0324" w:rsidRPr="0097642C" w:rsidRDefault="00AF0324" w:rsidP="00AF0324">
      <w:pPr>
        <w:rPr>
          <w:rFonts w:cs="Times New Roman"/>
          <w:b/>
          <w:sz w:val="24"/>
          <w:szCs w:val="24"/>
        </w:rPr>
      </w:pPr>
      <w:r w:rsidRPr="0097642C">
        <w:rPr>
          <w:rFonts w:cs="Times New Roman"/>
          <w:b/>
          <w:sz w:val="24"/>
          <w:szCs w:val="24"/>
        </w:rPr>
        <w:t>Appendix</w:t>
      </w:r>
    </w:p>
    <w:p w14:paraId="3059EFA1" w14:textId="77777777" w:rsidR="006A00CA" w:rsidRDefault="006A00CA" w:rsidP="006A00CA">
      <w:pPr>
        <w:rPr>
          <w:rFonts w:cs="Times New Roman"/>
          <w:sz w:val="24"/>
          <w:szCs w:val="24"/>
        </w:rPr>
      </w:pPr>
    </w:p>
    <w:p w14:paraId="2A373903" w14:textId="77777777" w:rsidR="00BD6415" w:rsidRDefault="00BD6415" w:rsidP="00BD6415">
      <w:pPr>
        <w:rPr>
          <w:rFonts w:cs="Times New Roman"/>
          <w:sz w:val="24"/>
          <w:szCs w:val="24"/>
        </w:rPr>
      </w:pPr>
      <w:r w:rsidRPr="0097642C">
        <w:rPr>
          <w:rFonts w:cs="Times New Roman"/>
          <w:sz w:val="24"/>
          <w:szCs w:val="24"/>
        </w:rPr>
        <w:t>Top 10 companies on annual turnover:</w:t>
      </w:r>
    </w:p>
    <w:p w14:paraId="2392E9CE" w14:textId="77777777" w:rsidR="00BD6415" w:rsidRPr="0097642C" w:rsidRDefault="00BD6415" w:rsidP="00BD6415">
      <w:pPr>
        <w:rPr>
          <w:rFonts w:cs="Times New Roman"/>
          <w:sz w:val="24"/>
          <w:szCs w:val="24"/>
        </w:rPr>
      </w:pPr>
    </w:p>
    <w:tbl>
      <w:tblPr>
        <w:tblW w:w="9105" w:type="dxa"/>
        <w:tblInd w:w="-10" w:type="dxa"/>
        <w:tblLook w:val="04A0" w:firstRow="1" w:lastRow="0" w:firstColumn="1" w:lastColumn="0" w:noHBand="0" w:noVBand="1"/>
      </w:tblPr>
      <w:tblGrid>
        <w:gridCol w:w="3566"/>
        <w:gridCol w:w="2180"/>
        <w:gridCol w:w="2180"/>
        <w:gridCol w:w="1179"/>
      </w:tblGrid>
      <w:tr w:rsidR="00BD6415" w:rsidRPr="0097642C" w14:paraId="6F035E8A" w14:textId="77777777" w:rsidTr="007A5F6F">
        <w:trPr>
          <w:trHeight w:val="244"/>
        </w:trPr>
        <w:tc>
          <w:tcPr>
            <w:tcW w:w="35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62042C6" w14:textId="77777777" w:rsidR="00BD6415" w:rsidRPr="0097642C" w:rsidRDefault="00BD6415" w:rsidP="007A5F6F">
            <w:pPr>
              <w:rPr>
                <w:rFonts w:eastAsia="Times New Roman" w:cs="Times New Roman"/>
                <w:b/>
                <w:bCs/>
                <w:color w:val="000000"/>
                <w:sz w:val="24"/>
                <w:szCs w:val="24"/>
                <w:lang w:eastAsia="en-GB"/>
              </w:rPr>
            </w:pPr>
            <w:r w:rsidRPr="0097642C">
              <w:rPr>
                <w:rFonts w:eastAsia="Times New Roman" w:cs="Times New Roman"/>
                <w:b/>
                <w:bCs/>
                <w:color w:val="000000"/>
                <w:sz w:val="24"/>
                <w:szCs w:val="24"/>
                <w:lang w:eastAsia="en-GB"/>
              </w:rPr>
              <w:t>Company</w:t>
            </w:r>
          </w:p>
        </w:tc>
        <w:tc>
          <w:tcPr>
            <w:tcW w:w="2180" w:type="dxa"/>
            <w:tcBorders>
              <w:top w:val="single" w:sz="8" w:space="0" w:color="auto"/>
              <w:left w:val="single" w:sz="8" w:space="0" w:color="CCCCCC"/>
              <w:bottom w:val="nil"/>
              <w:right w:val="single" w:sz="8" w:space="0" w:color="auto"/>
            </w:tcBorders>
            <w:shd w:val="clear" w:color="000000" w:fill="FFFFFF"/>
            <w:noWrap/>
            <w:vAlign w:val="bottom"/>
            <w:hideMark/>
          </w:tcPr>
          <w:p w14:paraId="2EAE95F3" w14:textId="77777777" w:rsidR="00BD6415" w:rsidRPr="0097642C" w:rsidRDefault="00BD6415" w:rsidP="007A5F6F">
            <w:pPr>
              <w:rPr>
                <w:rFonts w:eastAsia="Times New Roman" w:cs="Times New Roman"/>
                <w:b/>
                <w:bCs/>
                <w:color w:val="000000"/>
                <w:sz w:val="24"/>
                <w:szCs w:val="24"/>
                <w:lang w:eastAsia="en-GB"/>
              </w:rPr>
            </w:pPr>
            <w:r w:rsidRPr="0097642C">
              <w:rPr>
                <w:rFonts w:eastAsia="Times New Roman" w:cs="Times New Roman"/>
                <w:b/>
                <w:bCs/>
                <w:color w:val="000000"/>
                <w:sz w:val="24"/>
                <w:szCs w:val="24"/>
                <w:lang w:eastAsia="en-GB"/>
              </w:rPr>
              <w:t>Annual Turnover</w:t>
            </w:r>
          </w:p>
        </w:tc>
        <w:tc>
          <w:tcPr>
            <w:tcW w:w="2180" w:type="dxa"/>
            <w:tcBorders>
              <w:top w:val="single" w:sz="8" w:space="0" w:color="auto"/>
              <w:left w:val="single" w:sz="8" w:space="0" w:color="CCCCCC"/>
              <w:bottom w:val="nil"/>
              <w:right w:val="single" w:sz="8" w:space="0" w:color="auto"/>
            </w:tcBorders>
            <w:shd w:val="clear" w:color="000000" w:fill="FFFFFF"/>
            <w:noWrap/>
            <w:vAlign w:val="bottom"/>
            <w:hideMark/>
          </w:tcPr>
          <w:p w14:paraId="7ABB53F4" w14:textId="77777777" w:rsidR="00BD6415" w:rsidRPr="0097642C" w:rsidRDefault="00BD6415" w:rsidP="007A5F6F">
            <w:pPr>
              <w:rPr>
                <w:rFonts w:eastAsia="Times New Roman" w:cs="Times New Roman"/>
                <w:b/>
                <w:bCs/>
                <w:color w:val="000000"/>
                <w:sz w:val="24"/>
                <w:szCs w:val="24"/>
                <w:lang w:eastAsia="en-GB"/>
              </w:rPr>
            </w:pPr>
            <w:r w:rsidRPr="0097642C">
              <w:rPr>
                <w:rFonts w:eastAsia="Times New Roman" w:cs="Times New Roman"/>
                <w:b/>
                <w:bCs/>
                <w:color w:val="000000"/>
                <w:sz w:val="24"/>
                <w:szCs w:val="24"/>
                <w:lang w:eastAsia="en-GB"/>
              </w:rPr>
              <w:t>Annual Growth Rate</w:t>
            </w:r>
          </w:p>
        </w:tc>
        <w:tc>
          <w:tcPr>
            <w:tcW w:w="1179" w:type="dxa"/>
            <w:tcBorders>
              <w:top w:val="single" w:sz="8" w:space="0" w:color="auto"/>
              <w:left w:val="single" w:sz="8" w:space="0" w:color="CCCCCC"/>
              <w:bottom w:val="nil"/>
              <w:right w:val="single" w:sz="8" w:space="0" w:color="auto"/>
            </w:tcBorders>
            <w:shd w:val="clear" w:color="000000" w:fill="FFFFFF"/>
            <w:noWrap/>
            <w:vAlign w:val="bottom"/>
            <w:hideMark/>
          </w:tcPr>
          <w:p w14:paraId="7F90BF2F" w14:textId="77777777" w:rsidR="00BD6415" w:rsidRPr="0097642C" w:rsidRDefault="00BD6415" w:rsidP="007A5F6F">
            <w:pPr>
              <w:rPr>
                <w:rFonts w:eastAsia="Times New Roman" w:cs="Times New Roman"/>
                <w:b/>
                <w:bCs/>
                <w:color w:val="000000"/>
                <w:sz w:val="24"/>
                <w:szCs w:val="24"/>
                <w:lang w:eastAsia="en-GB"/>
              </w:rPr>
            </w:pPr>
            <w:r w:rsidRPr="0097642C">
              <w:rPr>
                <w:rFonts w:eastAsia="Times New Roman" w:cs="Times New Roman"/>
                <w:b/>
                <w:bCs/>
                <w:color w:val="000000"/>
                <w:sz w:val="24"/>
                <w:szCs w:val="24"/>
                <w:lang w:eastAsia="en-GB"/>
              </w:rPr>
              <w:t>Closest Station</w:t>
            </w:r>
          </w:p>
        </w:tc>
      </w:tr>
      <w:tr w:rsidR="00BD6415" w:rsidRPr="0097642C" w14:paraId="3817DFD9" w14:textId="77777777" w:rsidTr="007A5F6F">
        <w:trPr>
          <w:trHeight w:val="233"/>
        </w:trPr>
        <w:tc>
          <w:tcPr>
            <w:tcW w:w="3566" w:type="dxa"/>
            <w:tcBorders>
              <w:top w:val="nil"/>
              <w:left w:val="single" w:sz="4" w:space="0" w:color="auto"/>
              <w:bottom w:val="single" w:sz="4" w:space="0" w:color="auto"/>
              <w:right w:val="single" w:sz="4" w:space="0" w:color="auto"/>
            </w:tcBorders>
            <w:shd w:val="clear" w:color="auto" w:fill="auto"/>
            <w:noWrap/>
            <w:vAlign w:val="bottom"/>
            <w:hideMark/>
          </w:tcPr>
          <w:p w14:paraId="6F4EC6B2"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 xml:space="preserve">Royal Dutch Shell </w:t>
            </w:r>
            <w:r>
              <w:rPr>
                <w:rFonts w:eastAsia="Times New Roman" w:cs="Times New Roman"/>
                <w:color w:val="000000"/>
                <w:sz w:val="24"/>
                <w:szCs w:val="24"/>
                <w:lang w:eastAsia="en-GB"/>
              </w:rPr>
              <w:t>PLC</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C299087"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£183,000,000,000</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19A5A3F"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-37.08%</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14:paraId="3984D623"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Waterloo</w:t>
            </w:r>
          </w:p>
        </w:tc>
      </w:tr>
      <w:tr w:rsidR="00BD6415" w:rsidRPr="0097642C" w14:paraId="410A46DD" w14:textId="77777777" w:rsidTr="007A5F6F">
        <w:trPr>
          <w:trHeight w:val="233"/>
        </w:trPr>
        <w:tc>
          <w:tcPr>
            <w:tcW w:w="3566" w:type="dxa"/>
            <w:tcBorders>
              <w:top w:val="nil"/>
              <w:left w:val="single" w:sz="4" w:space="0" w:color="auto"/>
              <w:bottom w:val="single" w:sz="4" w:space="0" w:color="auto"/>
              <w:right w:val="single" w:sz="4" w:space="0" w:color="auto"/>
            </w:tcBorders>
            <w:shd w:val="clear" w:color="auto" w:fill="auto"/>
            <w:noWrap/>
            <w:vAlign w:val="bottom"/>
            <w:hideMark/>
          </w:tcPr>
          <w:p w14:paraId="06F3473A"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 xml:space="preserve">HSBC Holdings </w:t>
            </w:r>
            <w:r>
              <w:rPr>
                <w:rFonts w:eastAsia="Times New Roman" w:cs="Times New Roman"/>
                <w:color w:val="000000"/>
                <w:sz w:val="24"/>
                <w:szCs w:val="24"/>
                <w:lang w:eastAsia="en-GB"/>
              </w:rPr>
              <w:t>PLC</w:t>
            </w:r>
          </w:p>
        </w:tc>
        <w:tc>
          <w:tcPr>
            <w:tcW w:w="2180" w:type="dxa"/>
            <w:tcBorders>
              <w:top w:val="nil"/>
              <w:left w:val="nil"/>
              <w:bottom w:val="single" w:sz="4" w:space="0" w:color="auto"/>
              <w:right w:val="single" w:sz="4" w:space="0" w:color="auto"/>
            </w:tcBorders>
            <w:shd w:val="clear" w:color="auto" w:fill="auto"/>
            <w:noWrap/>
            <w:vAlign w:val="bottom"/>
            <w:hideMark/>
          </w:tcPr>
          <w:p w14:paraId="3E0022CF"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£61,642,441,860</w:t>
            </w:r>
          </w:p>
        </w:tc>
        <w:tc>
          <w:tcPr>
            <w:tcW w:w="2180" w:type="dxa"/>
            <w:tcBorders>
              <w:top w:val="nil"/>
              <w:left w:val="nil"/>
              <w:bottom w:val="single" w:sz="4" w:space="0" w:color="auto"/>
              <w:right w:val="single" w:sz="4" w:space="0" w:color="auto"/>
            </w:tcBorders>
            <w:shd w:val="clear" w:color="auto" w:fill="auto"/>
            <w:noWrap/>
            <w:vAlign w:val="bottom"/>
            <w:hideMark/>
          </w:tcPr>
          <w:p w14:paraId="26443585"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-3.35%</w:t>
            </w:r>
          </w:p>
        </w:tc>
        <w:tc>
          <w:tcPr>
            <w:tcW w:w="1179" w:type="dxa"/>
            <w:tcBorders>
              <w:top w:val="nil"/>
              <w:left w:val="nil"/>
              <w:bottom w:val="single" w:sz="4" w:space="0" w:color="auto"/>
              <w:right w:val="single" w:sz="4" w:space="0" w:color="auto"/>
            </w:tcBorders>
            <w:shd w:val="clear" w:color="auto" w:fill="auto"/>
            <w:noWrap/>
            <w:vAlign w:val="bottom"/>
            <w:hideMark/>
          </w:tcPr>
          <w:p w14:paraId="21C5EC63"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Tower Hil</w:t>
            </w:r>
            <w:r>
              <w:rPr>
                <w:rFonts w:eastAsia="Times New Roman" w:cs="Times New Roman"/>
                <w:color w:val="000000"/>
                <w:sz w:val="24"/>
                <w:szCs w:val="24"/>
                <w:lang w:eastAsia="en-GB"/>
              </w:rPr>
              <w:t>l</w:t>
            </w:r>
          </w:p>
        </w:tc>
      </w:tr>
      <w:tr w:rsidR="00BD6415" w:rsidRPr="0097642C" w14:paraId="624231D7" w14:textId="77777777" w:rsidTr="007A5F6F">
        <w:trPr>
          <w:trHeight w:val="233"/>
        </w:trPr>
        <w:tc>
          <w:tcPr>
            <w:tcW w:w="3566" w:type="dxa"/>
            <w:tcBorders>
              <w:top w:val="nil"/>
              <w:left w:val="single" w:sz="4" w:space="0" w:color="auto"/>
              <w:bottom w:val="single" w:sz="4" w:space="0" w:color="auto"/>
              <w:right w:val="single" w:sz="4" w:space="0" w:color="auto"/>
            </w:tcBorders>
            <w:shd w:val="clear" w:color="auto" w:fill="auto"/>
            <w:noWrap/>
            <w:vAlign w:val="bottom"/>
            <w:hideMark/>
          </w:tcPr>
          <w:p w14:paraId="424D6F44"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Shell Trading International Limited</w:t>
            </w:r>
          </w:p>
        </w:tc>
        <w:tc>
          <w:tcPr>
            <w:tcW w:w="2180" w:type="dxa"/>
            <w:tcBorders>
              <w:top w:val="nil"/>
              <w:left w:val="nil"/>
              <w:bottom w:val="single" w:sz="4" w:space="0" w:color="auto"/>
              <w:right w:val="single" w:sz="4" w:space="0" w:color="auto"/>
            </w:tcBorders>
            <w:shd w:val="clear" w:color="auto" w:fill="auto"/>
            <w:noWrap/>
            <w:vAlign w:val="bottom"/>
            <w:hideMark/>
          </w:tcPr>
          <w:p w14:paraId="2FB25B85"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£47,113,500,415</w:t>
            </w:r>
          </w:p>
        </w:tc>
        <w:tc>
          <w:tcPr>
            <w:tcW w:w="2180" w:type="dxa"/>
            <w:tcBorders>
              <w:top w:val="nil"/>
              <w:left w:val="nil"/>
              <w:bottom w:val="single" w:sz="4" w:space="0" w:color="auto"/>
              <w:right w:val="single" w:sz="4" w:space="0" w:color="auto"/>
            </w:tcBorders>
            <w:shd w:val="clear" w:color="auto" w:fill="auto"/>
            <w:noWrap/>
            <w:vAlign w:val="bottom"/>
            <w:hideMark/>
          </w:tcPr>
          <w:p w14:paraId="686DD2A8"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-42.66%</w:t>
            </w:r>
          </w:p>
        </w:tc>
        <w:tc>
          <w:tcPr>
            <w:tcW w:w="1179" w:type="dxa"/>
            <w:tcBorders>
              <w:top w:val="nil"/>
              <w:left w:val="nil"/>
              <w:bottom w:val="single" w:sz="4" w:space="0" w:color="auto"/>
              <w:right w:val="single" w:sz="4" w:space="0" w:color="auto"/>
            </w:tcBorders>
            <w:shd w:val="clear" w:color="auto" w:fill="auto"/>
            <w:noWrap/>
            <w:vAlign w:val="bottom"/>
            <w:hideMark/>
          </w:tcPr>
          <w:p w14:paraId="583772F6"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Waterloo</w:t>
            </w:r>
          </w:p>
        </w:tc>
      </w:tr>
      <w:tr w:rsidR="00BD6415" w:rsidRPr="0097642C" w14:paraId="34ABA44D" w14:textId="77777777" w:rsidTr="007A5F6F">
        <w:trPr>
          <w:trHeight w:val="233"/>
        </w:trPr>
        <w:tc>
          <w:tcPr>
            <w:tcW w:w="3566" w:type="dxa"/>
            <w:tcBorders>
              <w:top w:val="nil"/>
              <w:left w:val="single" w:sz="4" w:space="0" w:color="auto"/>
              <w:bottom w:val="single" w:sz="4" w:space="0" w:color="auto"/>
              <w:right w:val="single" w:sz="4" w:space="0" w:color="auto"/>
            </w:tcBorders>
            <w:shd w:val="clear" w:color="auto" w:fill="auto"/>
            <w:noWrap/>
            <w:vAlign w:val="bottom"/>
            <w:hideMark/>
          </w:tcPr>
          <w:p w14:paraId="207EE338"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Audible Limited</w:t>
            </w:r>
          </w:p>
        </w:tc>
        <w:tc>
          <w:tcPr>
            <w:tcW w:w="2180" w:type="dxa"/>
            <w:tcBorders>
              <w:top w:val="nil"/>
              <w:left w:val="nil"/>
              <w:bottom w:val="single" w:sz="4" w:space="0" w:color="auto"/>
              <w:right w:val="single" w:sz="4" w:space="0" w:color="auto"/>
            </w:tcBorders>
            <w:shd w:val="clear" w:color="auto" w:fill="auto"/>
            <w:noWrap/>
            <w:vAlign w:val="bottom"/>
            <w:hideMark/>
          </w:tcPr>
          <w:p w14:paraId="3EDF9437"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£43,664,011,000</w:t>
            </w:r>
          </w:p>
        </w:tc>
        <w:tc>
          <w:tcPr>
            <w:tcW w:w="2180" w:type="dxa"/>
            <w:tcBorders>
              <w:top w:val="nil"/>
              <w:left w:val="nil"/>
              <w:bottom w:val="single" w:sz="4" w:space="0" w:color="auto"/>
              <w:right w:val="single" w:sz="4" w:space="0" w:color="auto"/>
            </w:tcBorders>
            <w:shd w:val="clear" w:color="auto" w:fill="auto"/>
            <w:noWrap/>
            <w:vAlign w:val="bottom"/>
            <w:hideMark/>
          </w:tcPr>
          <w:p w14:paraId="2245D6A7"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48.23%</w:t>
            </w:r>
          </w:p>
        </w:tc>
        <w:tc>
          <w:tcPr>
            <w:tcW w:w="1179" w:type="dxa"/>
            <w:tcBorders>
              <w:top w:val="nil"/>
              <w:left w:val="nil"/>
              <w:bottom w:val="single" w:sz="4" w:space="0" w:color="auto"/>
              <w:right w:val="single" w:sz="4" w:space="0" w:color="auto"/>
            </w:tcBorders>
            <w:shd w:val="clear" w:color="auto" w:fill="auto"/>
            <w:noWrap/>
            <w:vAlign w:val="bottom"/>
            <w:hideMark/>
          </w:tcPr>
          <w:p w14:paraId="6C4881E2"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Barbican</w:t>
            </w:r>
          </w:p>
        </w:tc>
      </w:tr>
      <w:tr w:rsidR="00BD6415" w:rsidRPr="0097642C" w14:paraId="08477372" w14:textId="77777777" w:rsidTr="007A5F6F">
        <w:trPr>
          <w:trHeight w:val="233"/>
        </w:trPr>
        <w:tc>
          <w:tcPr>
            <w:tcW w:w="3566" w:type="dxa"/>
            <w:tcBorders>
              <w:top w:val="nil"/>
              <w:left w:val="single" w:sz="4" w:space="0" w:color="auto"/>
              <w:bottom w:val="single" w:sz="4" w:space="0" w:color="auto"/>
              <w:right w:val="single" w:sz="4" w:space="0" w:color="auto"/>
            </w:tcBorders>
            <w:shd w:val="clear" w:color="auto" w:fill="auto"/>
            <w:noWrap/>
            <w:vAlign w:val="bottom"/>
            <w:hideMark/>
          </w:tcPr>
          <w:p w14:paraId="37CAF8B6"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 xml:space="preserve">Unilever </w:t>
            </w:r>
            <w:r>
              <w:rPr>
                <w:rFonts w:eastAsia="Times New Roman" w:cs="Times New Roman"/>
                <w:color w:val="000000"/>
                <w:sz w:val="24"/>
                <w:szCs w:val="24"/>
                <w:lang w:eastAsia="en-GB"/>
              </w:rPr>
              <w:t>PLC</w:t>
            </w:r>
          </w:p>
        </w:tc>
        <w:tc>
          <w:tcPr>
            <w:tcW w:w="2180" w:type="dxa"/>
            <w:tcBorders>
              <w:top w:val="nil"/>
              <w:left w:val="nil"/>
              <w:bottom w:val="single" w:sz="4" w:space="0" w:color="auto"/>
              <w:right w:val="single" w:sz="4" w:space="0" w:color="auto"/>
            </w:tcBorders>
            <w:shd w:val="clear" w:color="auto" w:fill="auto"/>
            <w:noWrap/>
            <w:vAlign w:val="bottom"/>
            <w:hideMark/>
          </w:tcPr>
          <w:p w14:paraId="00B436B0"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£41,366,671,843</w:t>
            </w:r>
          </w:p>
        </w:tc>
        <w:tc>
          <w:tcPr>
            <w:tcW w:w="2180" w:type="dxa"/>
            <w:tcBorders>
              <w:top w:val="nil"/>
              <w:left w:val="nil"/>
              <w:bottom w:val="single" w:sz="4" w:space="0" w:color="auto"/>
              <w:right w:val="single" w:sz="4" w:space="0" w:color="auto"/>
            </w:tcBorders>
            <w:shd w:val="clear" w:color="auto" w:fill="auto"/>
            <w:noWrap/>
            <w:vAlign w:val="bottom"/>
            <w:hideMark/>
          </w:tcPr>
          <w:p w14:paraId="1CA2A5E0"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9.98%</w:t>
            </w:r>
          </w:p>
        </w:tc>
        <w:tc>
          <w:tcPr>
            <w:tcW w:w="1179" w:type="dxa"/>
            <w:tcBorders>
              <w:top w:val="nil"/>
              <w:left w:val="nil"/>
              <w:bottom w:val="single" w:sz="4" w:space="0" w:color="auto"/>
              <w:right w:val="single" w:sz="4" w:space="0" w:color="auto"/>
            </w:tcBorders>
            <w:shd w:val="clear" w:color="auto" w:fill="auto"/>
            <w:noWrap/>
            <w:vAlign w:val="bottom"/>
            <w:hideMark/>
          </w:tcPr>
          <w:p w14:paraId="26C25519"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Notting Hill Gate</w:t>
            </w:r>
          </w:p>
        </w:tc>
      </w:tr>
      <w:tr w:rsidR="00BD6415" w:rsidRPr="0097642C" w14:paraId="100EBE08" w14:textId="77777777" w:rsidTr="007A5F6F">
        <w:trPr>
          <w:trHeight w:val="233"/>
        </w:trPr>
        <w:tc>
          <w:tcPr>
            <w:tcW w:w="3566" w:type="dxa"/>
            <w:tcBorders>
              <w:top w:val="nil"/>
              <w:left w:val="single" w:sz="4" w:space="0" w:color="auto"/>
              <w:bottom w:val="single" w:sz="4" w:space="0" w:color="auto"/>
              <w:right w:val="single" w:sz="4" w:space="0" w:color="auto"/>
            </w:tcBorders>
            <w:shd w:val="clear" w:color="auto" w:fill="auto"/>
            <w:noWrap/>
            <w:vAlign w:val="bottom"/>
            <w:hideMark/>
          </w:tcPr>
          <w:p w14:paraId="38247F98"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Prudential Public Limited Company</w:t>
            </w:r>
          </w:p>
        </w:tc>
        <w:tc>
          <w:tcPr>
            <w:tcW w:w="2180" w:type="dxa"/>
            <w:tcBorders>
              <w:top w:val="nil"/>
              <w:left w:val="nil"/>
              <w:bottom w:val="single" w:sz="4" w:space="0" w:color="auto"/>
              <w:right w:val="single" w:sz="4" w:space="0" w:color="auto"/>
            </w:tcBorders>
            <w:shd w:val="clear" w:color="auto" w:fill="auto"/>
            <w:noWrap/>
            <w:vAlign w:val="bottom"/>
            <w:hideMark/>
          </w:tcPr>
          <w:p w14:paraId="6B3FBBA0"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£41,305,000,000</w:t>
            </w:r>
          </w:p>
        </w:tc>
        <w:tc>
          <w:tcPr>
            <w:tcW w:w="2180" w:type="dxa"/>
            <w:tcBorders>
              <w:top w:val="nil"/>
              <w:left w:val="nil"/>
              <w:bottom w:val="single" w:sz="4" w:space="0" w:color="auto"/>
              <w:right w:val="single" w:sz="4" w:space="0" w:color="auto"/>
            </w:tcBorders>
            <w:shd w:val="clear" w:color="auto" w:fill="auto"/>
            <w:noWrap/>
            <w:vAlign w:val="bottom"/>
            <w:hideMark/>
          </w:tcPr>
          <w:p w14:paraId="070DE3B6"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-31.30%</w:t>
            </w:r>
          </w:p>
        </w:tc>
        <w:tc>
          <w:tcPr>
            <w:tcW w:w="1179" w:type="dxa"/>
            <w:tcBorders>
              <w:top w:val="nil"/>
              <w:left w:val="nil"/>
              <w:bottom w:val="single" w:sz="4" w:space="0" w:color="auto"/>
              <w:right w:val="single" w:sz="4" w:space="0" w:color="auto"/>
            </w:tcBorders>
            <w:shd w:val="clear" w:color="auto" w:fill="auto"/>
            <w:noWrap/>
            <w:vAlign w:val="bottom"/>
            <w:hideMark/>
          </w:tcPr>
          <w:p w14:paraId="3AE576E3"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Cannon Street</w:t>
            </w:r>
          </w:p>
        </w:tc>
      </w:tr>
      <w:tr w:rsidR="00BD6415" w:rsidRPr="0097642C" w14:paraId="597D9410" w14:textId="77777777" w:rsidTr="007A5F6F">
        <w:trPr>
          <w:trHeight w:val="233"/>
        </w:trPr>
        <w:tc>
          <w:tcPr>
            <w:tcW w:w="3566" w:type="dxa"/>
            <w:tcBorders>
              <w:top w:val="nil"/>
              <w:left w:val="single" w:sz="4" w:space="0" w:color="auto"/>
              <w:bottom w:val="single" w:sz="4" w:space="0" w:color="auto"/>
              <w:right w:val="single" w:sz="4" w:space="0" w:color="auto"/>
            </w:tcBorders>
            <w:shd w:val="clear" w:color="auto" w:fill="auto"/>
            <w:noWrap/>
            <w:vAlign w:val="bottom"/>
            <w:hideMark/>
          </w:tcPr>
          <w:p w14:paraId="209CEB09" w14:textId="77777777" w:rsidR="00BD6415" w:rsidRPr="0097642C" w:rsidRDefault="00BD6415" w:rsidP="007A5F6F">
            <w:pPr>
              <w:rPr>
                <w:rFonts w:eastAsia="Times New Roman" w:cs="Times New Roman"/>
                <w:color w:val="000000"/>
                <w:sz w:val="24"/>
                <w:szCs w:val="24"/>
                <w:lang w:eastAsia="en-GB"/>
              </w:rPr>
            </w:pPr>
            <w:proofErr w:type="spellStart"/>
            <w:r w:rsidRPr="0097642C">
              <w:rPr>
                <w:rFonts w:eastAsia="Times New Roman" w:cs="Times New Roman"/>
                <w:color w:val="000000"/>
                <w:sz w:val="24"/>
                <w:szCs w:val="24"/>
                <w:lang w:eastAsia="en-GB"/>
              </w:rPr>
              <w:t>Societe</w:t>
            </w:r>
            <w:proofErr w:type="spellEnd"/>
            <w:r w:rsidRPr="0097642C">
              <w:rPr>
                <w:rFonts w:eastAsia="Times New Roman" w:cs="Times New Roman"/>
                <w:color w:val="000000"/>
                <w:sz w:val="24"/>
                <w:szCs w:val="24"/>
                <w:lang w:eastAsia="en-GB"/>
              </w:rPr>
              <w:t xml:space="preserve"> </w:t>
            </w:r>
            <w:proofErr w:type="spellStart"/>
            <w:r w:rsidRPr="0097642C">
              <w:rPr>
                <w:rFonts w:eastAsia="Times New Roman" w:cs="Times New Roman"/>
                <w:color w:val="000000"/>
                <w:sz w:val="24"/>
                <w:szCs w:val="24"/>
                <w:lang w:eastAsia="en-GB"/>
              </w:rPr>
              <w:t>Generale</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3EF17F9A"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£34,450,453,195</w:t>
            </w:r>
          </w:p>
        </w:tc>
        <w:tc>
          <w:tcPr>
            <w:tcW w:w="2180" w:type="dxa"/>
            <w:tcBorders>
              <w:top w:val="nil"/>
              <w:left w:val="nil"/>
              <w:bottom w:val="single" w:sz="4" w:space="0" w:color="auto"/>
              <w:right w:val="single" w:sz="4" w:space="0" w:color="auto"/>
            </w:tcBorders>
            <w:shd w:val="clear" w:color="auto" w:fill="auto"/>
            <w:noWrap/>
            <w:vAlign w:val="bottom"/>
            <w:hideMark/>
          </w:tcPr>
          <w:p w14:paraId="51B90DC9"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-37.84%</w:t>
            </w:r>
          </w:p>
        </w:tc>
        <w:tc>
          <w:tcPr>
            <w:tcW w:w="1179" w:type="dxa"/>
            <w:tcBorders>
              <w:top w:val="nil"/>
              <w:left w:val="nil"/>
              <w:bottom w:val="single" w:sz="4" w:space="0" w:color="auto"/>
              <w:right w:val="single" w:sz="4" w:space="0" w:color="auto"/>
            </w:tcBorders>
            <w:shd w:val="clear" w:color="auto" w:fill="auto"/>
            <w:noWrap/>
            <w:vAlign w:val="bottom"/>
            <w:hideMark/>
          </w:tcPr>
          <w:p w14:paraId="4352C5DD"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Tower Hill</w:t>
            </w:r>
          </w:p>
        </w:tc>
      </w:tr>
      <w:tr w:rsidR="00BD6415" w:rsidRPr="0097642C" w14:paraId="05598FF9" w14:textId="77777777" w:rsidTr="007A5F6F">
        <w:trPr>
          <w:trHeight w:val="233"/>
        </w:trPr>
        <w:tc>
          <w:tcPr>
            <w:tcW w:w="3566" w:type="dxa"/>
            <w:tcBorders>
              <w:top w:val="nil"/>
              <w:left w:val="single" w:sz="4" w:space="0" w:color="auto"/>
              <w:bottom w:val="single" w:sz="4" w:space="0" w:color="auto"/>
              <w:right w:val="single" w:sz="4" w:space="0" w:color="auto"/>
            </w:tcBorders>
            <w:shd w:val="clear" w:color="auto" w:fill="auto"/>
            <w:noWrap/>
            <w:vAlign w:val="bottom"/>
            <w:hideMark/>
          </w:tcPr>
          <w:p w14:paraId="41A60F6A"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Glencore Energy UK Ltd</w:t>
            </w:r>
          </w:p>
        </w:tc>
        <w:tc>
          <w:tcPr>
            <w:tcW w:w="2180" w:type="dxa"/>
            <w:tcBorders>
              <w:top w:val="nil"/>
              <w:left w:val="nil"/>
              <w:bottom w:val="single" w:sz="4" w:space="0" w:color="auto"/>
              <w:right w:val="single" w:sz="4" w:space="0" w:color="auto"/>
            </w:tcBorders>
            <w:shd w:val="clear" w:color="auto" w:fill="auto"/>
            <w:noWrap/>
            <w:vAlign w:val="bottom"/>
            <w:hideMark/>
          </w:tcPr>
          <w:p w14:paraId="1AAA3B0A"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£33,118,512,817</w:t>
            </w:r>
          </w:p>
        </w:tc>
        <w:tc>
          <w:tcPr>
            <w:tcW w:w="2180" w:type="dxa"/>
            <w:tcBorders>
              <w:top w:val="nil"/>
              <w:left w:val="nil"/>
              <w:bottom w:val="single" w:sz="4" w:space="0" w:color="auto"/>
              <w:right w:val="single" w:sz="4" w:space="0" w:color="auto"/>
            </w:tcBorders>
            <w:shd w:val="clear" w:color="auto" w:fill="auto"/>
            <w:noWrap/>
            <w:vAlign w:val="bottom"/>
            <w:hideMark/>
          </w:tcPr>
          <w:p w14:paraId="0FA7A6D5"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-31.17%</w:t>
            </w:r>
          </w:p>
        </w:tc>
        <w:tc>
          <w:tcPr>
            <w:tcW w:w="1179" w:type="dxa"/>
            <w:tcBorders>
              <w:top w:val="nil"/>
              <w:left w:val="nil"/>
              <w:bottom w:val="single" w:sz="4" w:space="0" w:color="auto"/>
              <w:right w:val="single" w:sz="4" w:space="0" w:color="auto"/>
            </w:tcBorders>
            <w:shd w:val="clear" w:color="auto" w:fill="auto"/>
            <w:noWrap/>
            <w:vAlign w:val="bottom"/>
            <w:hideMark/>
          </w:tcPr>
          <w:p w14:paraId="2DB7F5B3"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Green Park</w:t>
            </w:r>
          </w:p>
        </w:tc>
      </w:tr>
      <w:tr w:rsidR="00BD6415" w:rsidRPr="0097642C" w14:paraId="60958BBA" w14:textId="77777777" w:rsidTr="007A5F6F">
        <w:trPr>
          <w:trHeight w:val="233"/>
        </w:trPr>
        <w:tc>
          <w:tcPr>
            <w:tcW w:w="3566" w:type="dxa"/>
            <w:tcBorders>
              <w:top w:val="nil"/>
              <w:left w:val="single" w:sz="4" w:space="0" w:color="auto"/>
              <w:bottom w:val="single" w:sz="4" w:space="0" w:color="auto"/>
              <w:right w:val="single" w:sz="4" w:space="0" w:color="auto"/>
            </w:tcBorders>
            <w:shd w:val="clear" w:color="auto" w:fill="auto"/>
            <w:noWrap/>
            <w:vAlign w:val="bottom"/>
            <w:hideMark/>
          </w:tcPr>
          <w:p w14:paraId="57F502EC"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 xml:space="preserve">BHP Billiton </w:t>
            </w:r>
            <w:r>
              <w:rPr>
                <w:rFonts w:eastAsia="Times New Roman" w:cs="Times New Roman"/>
                <w:color w:val="000000"/>
                <w:sz w:val="24"/>
                <w:szCs w:val="24"/>
                <w:lang w:eastAsia="en-GB"/>
              </w:rPr>
              <w:t>PLC</w:t>
            </w:r>
          </w:p>
        </w:tc>
        <w:tc>
          <w:tcPr>
            <w:tcW w:w="2180" w:type="dxa"/>
            <w:tcBorders>
              <w:top w:val="nil"/>
              <w:left w:val="nil"/>
              <w:bottom w:val="single" w:sz="4" w:space="0" w:color="auto"/>
              <w:right w:val="single" w:sz="4" w:space="0" w:color="auto"/>
            </w:tcBorders>
            <w:shd w:val="clear" w:color="auto" w:fill="auto"/>
            <w:noWrap/>
            <w:vAlign w:val="bottom"/>
            <w:hideMark/>
          </w:tcPr>
          <w:p w14:paraId="6D7DEBCD"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£30,120,790,877</w:t>
            </w:r>
          </w:p>
        </w:tc>
        <w:tc>
          <w:tcPr>
            <w:tcW w:w="2180" w:type="dxa"/>
            <w:tcBorders>
              <w:top w:val="nil"/>
              <w:left w:val="nil"/>
              <w:bottom w:val="single" w:sz="4" w:space="0" w:color="auto"/>
              <w:right w:val="single" w:sz="4" w:space="0" w:color="auto"/>
            </w:tcBorders>
            <w:shd w:val="clear" w:color="auto" w:fill="auto"/>
            <w:noWrap/>
            <w:vAlign w:val="bottom"/>
            <w:hideMark/>
          </w:tcPr>
          <w:p w14:paraId="12CC1009"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-31.97%</w:t>
            </w:r>
          </w:p>
        </w:tc>
        <w:tc>
          <w:tcPr>
            <w:tcW w:w="1179" w:type="dxa"/>
            <w:tcBorders>
              <w:top w:val="nil"/>
              <w:left w:val="nil"/>
              <w:bottom w:val="single" w:sz="4" w:space="0" w:color="auto"/>
              <w:right w:val="single" w:sz="4" w:space="0" w:color="auto"/>
            </w:tcBorders>
            <w:shd w:val="clear" w:color="auto" w:fill="auto"/>
            <w:noWrap/>
            <w:vAlign w:val="bottom"/>
            <w:hideMark/>
          </w:tcPr>
          <w:p w14:paraId="398FE6C9"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Victoria</w:t>
            </w:r>
          </w:p>
        </w:tc>
      </w:tr>
      <w:tr w:rsidR="00BD6415" w:rsidRPr="0097642C" w14:paraId="7E553B76" w14:textId="77777777" w:rsidTr="007A5F6F">
        <w:trPr>
          <w:trHeight w:val="233"/>
        </w:trPr>
        <w:tc>
          <w:tcPr>
            <w:tcW w:w="3566" w:type="dxa"/>
            <w:tcBorders>
              <w:top w:val="nil"/>
              <w:left w:val="single" w:sz="4" w:space="0" w:color="auto"/>
              <w:bottom w:val="single" w:sz="4" w:space="0" w:color="auto"/>
              <w:right w:val="single" w:sz="4" w:space="0" w:color="auto"/>
            </w:tcBorders>
            <w:shd w:val="clear" w:color="auto" w:fill="auto"/>
            <w:noWrap/>
            <w:vAlign w:val="bottom"/>
            <w:hideMark/>
          </w:tcPr>
          <w:p w14:paraId="641E4F30"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 xml:space="preserve">Barclays Bank </w:t>
            </w:r>
            <w:r>
              <w:rPr>
                <w:rFonts w:eastAsia="Times New Roman" w:cs="Times New Roman"/>
                <w:color w:val="000000"/>
                <w:sz w:val="24"/>
                <w:szCs w:val="24"/>
                <w:lang w:eastAsia="en-GB"/>
              </w:rPr>
              <w:t>PLC</w:t>
            </w:r>
          </w:p>
        </w:tc>
        <w:tc>
          <w:tcPr>
            <w:tcW w:w="2180" w:type="dxa"/>
            <w:tcBorders>
              <w:top w:val="nil"/>
              <w:left w:val="nil"/>
              <w:bottom w:val="single" w:sz="4" w:space="0" w:color="auto"/>
              <w:right w:val="single" w:sz="4" w:space="0" w:color="auto"/>
            </w:tcBorders>
            <w:shd w:val="clear" w:color="auto" w:fill="auto"/>
            <w:noWrap/>
            <w:vAlign w:val="bottom"/>
            <w:hideMark/>
          </w:tcPr>
          <w:p w14:paraId="79D0BE80"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£29,753,000,000</w:t>
            </w:r>
          </w:p>
        </w:tc>
        <w:tc>
          <w:tcPr>
            <w:tcW w:w="2180" w:type="dxa"/>
            <w:tcBorders>
              <w:top w:val="nil"/>
              <w:left w:val="nil"/>
              <w:bottom w:val="single" w:sz="4" w:space="0" w:color="auto"/>
              <w:right w:val="single" w:sz="4" w:space="0" w:color="auto"/>
            </w:tcBorders>
            <w:shd w:val="clear" w:color="auto" w:fill="auto"/>
            <w:noWrap/>
            <w:vAlign w:val="bottom"/>
            <w:hideMark/>
          </w:tcPr>
          <w:p w14:paraId="58291B13" w14:textId="77777777" w:rsidR="00BD6415" w:rsidRPr="0097642C" w:rsidRDefault="00BD6415" w:rsidP="007A5F6F">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-1.02%</w:t>
            </w:r>
          </w:p>
        </w:tc>
        <w:tc>
          <w:tcPr>
            <w:tcW w:w="1179" w:type="dxa"/>
            <w:tcBorders>
              <w:top w:val="nil"/>
              <w:left w:val="nil"/>
              <w:bottom w:val="single" w:sz="4" w:space="0" w:color="auto"/>
              <w:right w:val="single" w:sz="4" w:space="0" w:color="auto"/>
            </w:tcBorders>
            <w:shd w:val="clear" w:color="auto" w:fill="auto"/>
            <w:noWrap/>
            <w:vAlign w:val="bottom"/>
            <w:hideMark/>
          </w:tcPr>
          <w:p w14:paraId="3C009B5E" w14:textId="77777777" w:rsidR="00BD6415" w:rsidRPr="0097642C" w:rsidRDefault="00BD6415" w:rsidP="007A5F6F">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Tower Hill</w:t>
            </w:r>
          </w:p>
        </w:tc>
      </w:tr>
    </w:tbl>
    <w:p w14:paraId="26D727AA" w14:textId="77777777" w:rsidR="00BD6415" w:rsidRDefault="00BD6415" w:rsidP="00BD6415">
      <w:pPr>
        <w:rPr>
          <w:rFonts w:cs="Times New Roman"/>
          <w:sz w:val="24"/>
          <w:szCs w:val="24"/>
        </w:rPr>
      </w:pPr>
    </w:p>
    <w:p w14:paraId="20F0586A" w14:textId="77777777" w:rsidR="00BD6415" w:rsidRDefault="00BD6415" w:rsidP="006A00CA">
      <w:pPr>
        <w:rPr>
          <w:rFonts w:cs="Times New Roman"/>
          <w:sz w:val="24"/>
          <w:szCs w:val="24"/>
        </w:rPr>
      </w:pPr>
    </w:p>
    <w:p w14:paraId="3F7C9A46" w14:textId="77777777" w:rsidR="00BD6415" w:rsidRDefault="00BD6415" w:rsidP="006A00CA">
      <w:pPr>
        <w:rPr>
          <w:rFonts w:cs="Times New Roman"/>
          <w:sz w:val="24"/>
          <w:szCs w:val="24"/>
        </w:rPr>
      </w:pPr>
    </w:p>
    <w:p w14:paraId="55797A69" w14:textId="08CD1BD3" w:rsidR="006A00CA" w:rsidRPr="0097642C" w:rsidRDefault="006A00CA" w:rsidP="006A00CA">
      <w:pPr>
        <w:rPr>
          <w:rFonts w:cs="Times New Roman"/>
          <w:sz w:val="24"/>
          <w:szCs w:val="24"/>
        </w:rPr>
      </w:pPr>
      <w:r w:rsidRPr="0097642C">
        <w:rPr>
          <w:rFonts w:cs="Times New Roman"/>
          <w:sz w:val="24"/>
          <w:szCs w:val="24"/>
        </w:rPr>
        <w:t xml:space="preserve">Top 10 companies on </w:t>
      </w:r>
      <w:r w:rsidR="002511F1">
        <w:rPr>
          <w:rFonts w:cs="Times New Roman"/>
          <w:sz w:val="24"/>
          <w:szCs w:val="24"/>
        </w:rPr>
        <w:t>annual growth rate</w:t>
      </w:r>
      <w:r w:rsidRPr="0097642C">
        <w:rPr>
          <w:rFonts w:cs="Times New Roman"/>
          <w:sz w:val="24"/>
          <w:szCs w:val="24"/>
        </w:rPr>
        <w:t>:</w:t>
      </w:r>
    </w:p>
    <w:p w14:paraId="524321BE" w14:textId="2D166BC5" w:rsidR="00AF0324" w:rsidRPr="0097642C" w:rsidRDefault="00AF0324" w:rsidP="00AF0324">
      <w:pPr>
        <w:rPr>
          <w:rFonts w:cs="Times New Roman"/>
          <w:sz w:val="24"/>
          <w:szCs w:val="24"/>
        </w:rPr>
      </w:pPr>
    </w:p>
    <w:tbl>
      <w:tblPr>
        <w:tblW w:w="9197" w:type="dxa"/>
        <w:tblInd w:w="-10" w:type="dxa"/>
        <w:tblLayout w:type="fixed"/>
        <w:tblLook w:val="04A0" w:firstRow="1" w:lastRow="0" w:firstColumn="1" w:lastColumn="0" w:noHBand="0" w:noVBand="1"/>
      </w:tblPr>
      <w:tblGrid>
        <w:gridCol w:w="3379"/>
        <w:gridCol w:w="2268"/>
        <w:gridCol w:w="2081"/>
        <w:gridCol w:w="1469"/>
      </w:tblGrid>
      <w:tr w:rsidR="00AF0324" w:rsidRPr="0097642C" w14:paraId="6BC814D2" w14:textId="77777777" w:rsidTr="002511F1">
        <w:trPr>
          <w:trHeight w:val="213"/>
        </w:trPr>
        <w:tc>
          <w:tcPr>
            <w:tcW w:w="337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4726045" w14:textId="77777777" w:rsidR="00AF0324" w:rsidRPr="0097642C" w:rsidRDefault="00AF0324" w:rsidP="00880AAE">
            <w:pPr>
              <w:rPr>
                <w:rFonts w:eastAsia="Times New Roman" w:cs="Times New Roman"/>
                <w:b/>
                <w:bCs/>
                <w:color w:val="000000"/>
                <w:sz w:val="24"/>
                <w:szCs w:val="24"/>
                <w:lang w:eastAsia="en-GB"/>
              </w:rPr>
            </w:pPr>
            <w:r w:rsidRPr="0097642C">
              <w:rPr>
                <w:rFonts w:eastAsia="Times New Roman" w:cs="Times New Roman"/>
                <w:b/>
                <w:bCs/>
                <w:color w:val="000000"/>
                <w:sz w:val="24"/>
                <w:szCs w:val="24"/>
                <w:lang w:eastAsia="en-GB"/>
              </w:rPr>
              <w:t>Company</w:t>
            </w:r>
          </w:p>
        </w:tc>
        <w:tc>
          <w:tcPr>
            <w:tcW w:w="2268" w:type="dxa"/>
            <w:tcBorders>
              <w:top w:val="single" w:sz="8" w:space="0" w:color="auto"/>
              <w:left w:val="single" w:sz="8" w:space="0" w:color="CCCCCC"/>
              <w:bottom w:val="nil"/>
              <w:right w:val="single" w:sz="8" w:space="0" w:color="auto"/>
            </w:tcBorders>
            <w:shd w:val="clear" w:color="000000" w:fill="FFFFFF"/>
            <w:noWrap/>
            <w:vAlign w:val="bottom"/>
            <w:hideMark/>
          </w:tcPr>
          <w:p w14:paraId="62E426A2" w14:textId="3FB13522" w:rsidR="00AF0324" w:rsidRPr="0097642C" w:rsidRDefault="00AF0324" w:rsidP="00880AAE">
            <w:pPr>
              <w:rPr>
                <w:rFonts w:eastAsia="Times New Roman" w:cs="Times New Roman"/>
                <w:b/>
                <w:bCs/>
                <w:color w:val="000000"/>
                <w:sz w:val="24"/>
                <w:szCs w:val="24"/>
                <w:lang w:eastAsia="en-GB"/>
              </w:rPr>
            </w:pPr>
            <w:r w:rsidRPr="0097642C">
              <w:rPr>
                <w:rFonts w:eastAsia="Times New Roman" w:cs="Times New Roman"/>
                <w:b/>
                <w:bCs/>
                <w:color w:val="000000"/>
                <w:sz w:val="24"/>
                <w:szCs w:val="24"/>
                <w:lang w:eastAsia="en-GB"/>
              </w:rPr>
              <w:t>Annual Growth Rate</w:t>
            </w:r>
          </w:p>
        </w:tc>
        <w:tc>
          <w:tcPr>
            <w:tcW w:w="2081" w:type="dxa"/>
            <w:tcBorders>
              <w:top w:val="single" w:sz="8" w:space="0" w:color="auto"/>
              <w:left w:val="single" w:sz="8" w:space="0" w:color="CCCCCC"/>
              <w:bottom w:val="nil"/>
              <w:right w:val="single" w:sz="8" w:space="0" w:color="auto"/>
            </w:tcBorders>
            <w:shd w:val="clear" w:color="000000" w:fill="FFFFFF"/>
            <w:noWrap/>
            <w:vAlign w:val="bottom"/>
            <w:hideMark/>
          </w:tcPr>
          <w:p w14:paraId="65AB0086" w14:textId="0C503E22" w:rsidR="00AF0324" w:rsidRPr="0097642C" w:rsidRDefault="00AF0324" w:rsidP="00880AAE">
            <w:pPr>
              <w:rPr>
                <w:rFonts w:eastAsia="Times New Roman" w:cs="Times New Roman"/>
                <w:b/>
                <w:bCs/>
                <w:color w:val="000000"/>
                <w:sz w:val="24"/>
                <w:szCs w:val="24"/>
                <w:lang w:eastAsia="en-GB"/>
              </w:rPr>
            </w:pPr>
            <w:r w:rsidRPr="0097642C">
              <w:rPr>
                <w:rFonts w:eastAsia="Times New Roman" w:cs="Times New Roman"/>
                <w:b/>
                <w:bCs/>
                <w:color w:val="000000"/>
                <w:sz w:val="24"/>
                <w:szCs w:val="24"/>
                <w:lang w:eastAsia="en-GB"/>
              </w:rPr>
              <w:t>Annual Turnover</w:t>
            </w:r>
          </w:p>
        </w:tc>
        <w:tc>
          <w:tcPr>
            <w:tcW w:w="1469" w:type="dxa"/>
            <w:tcBorders>
              <w:top w:val="single" w:sz="8" w:space="0" w:color="auto"/>
              <w:left w:val="single" w:sz="8" w:space="0" w:color="CCCCCC"/>
              <w:bottom w:val="nil"/>
              <w:right w:val="single" w:sz="8" w:space="0" w:color="auto"/>
            </w:tcBorders>
            <w:shd w:val="clear" w:color="000000" w:fill="FFFFFF"/>
            <w:noWrap/>
            <w:vAlign w:val="bottom"/>
            <w:hideMark/>
          </w:tcPr>
          <w:p w14:paraId="6C3FEF31" w14:textId="77777777" w:rsidR="00AF0324" w:rsidRPr="0097642C" w:rsidRDefault="00AF0324" w:rsidP="00880AAE">
            <w:pPr>
              <w:rPr>
                <w:rFonts w:eastAsia="Times New Roman" w:cs="Times New Roman"/>
                <w:b/>
                <w:bCs/>
                <w:color w:val="000000"/>
                <w:sz w:val="24"/>
                <w:szCs w:val="24"/>
                <w:lang w:eastAsia="en-GB"/>
              </w:rPr>
            </w:pPr>
            <w:r w:rsidRPr="0097642C">
              <w:rPr>
                <w:rFonts w:eastAsia="Times New Roman" w:cs="Times New Roman"/>
                <w:b/>
                <w:bCs/>
                <w:color w:val="000000"/>
                <w:sz w:val="24"/>
                <w:szCs w:val="24"/>
                <w:lang w:eastAsia="en-GB"/>
              </w:rPr>
              <w:t>Closest Station</w:t>
            </w:r>
          </w:p>
        </w:tc>
      </w:tr>
      <w:tr w:rsidR="00AF0324" w:rsidRPr="0097642C" w14:paraId="62E4B63C" w14:textId="77777777" w:rsidTr="002511F1">
        <w:trPr>
          <w:trHeight w:val="204"/>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75D3BD63" w14:textId="77777777" w:rsidR="00AF0324" w:rsidRPr="0097642C" w:rsidRDefault="00AF0324" w:rsidP="00880AAE">
            <w:pPr>
              <w:rPr>
                <w:rFonts w:eastAsia="Times New Roman" w:cs="Times New Roman"/>
                <w:color w:val="000000"/>
                <w:sz w:val="24"/>
                <w:szCs w:val="24"/>
                <w:lang w:eastAsia="en-GB"/>
              </w:rPr>
            </w:pPr>
            <w:proofErr w:type="spellStart"/>
            <w:r w:rsidRPr="0097642C">
              <w:rPr>
                <w:rFonts w:eastAsia="Times New Roman" w:cs="Times New Roman"/>
                <w:color w:val="000000"/>
                <w:sz w:val="24"/>
                <w:szCs w:val="24"/>
                <w:lang w:eastAsia="en-GB"/>
              </w:rPr>
              <w:t>CMEGroup</w:t>
            </w:r>
            <w:proofErr w:type="spellEnd"/>
            <w:r w:rsidRPr="0097642C">
              <w:rPr>
                <w:rFonts w:eastAsia="Times New Roman" w:cs="Times New Roman"/>
                <w:color w:val="000000"/>
                <w:sz w:val="24"/>
                <w:szCs w:val="24"/>
                <w:lang w:eastAsia="en-GB"/>
              </w:rPr>
              <w:t xml:space="preserve"> International Market Data Limited</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7157DF8"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992.77%</w:t>
            </w:r>
          </w:p>
        </w:tc>
        <w:tc>
          <w:tcPr>
            <w:tcW w:w="2081" w:type="dxa"/>
            <w:tcBorders>
              <w:top w:val="single" w:sz="4" w:space="0" w:color="auto"/>
              <w:left w:val="nil"/>
              <w:bottom w:val="single" w:sz="4" w:space="0" w:color="auto"/>
              <w:right w:val="single" w:sz="4" w:space="0" w:color="auto"/>
            </w:tcBorders>
            <w:shd w:val="clear" w:color="auto" w:fill="auto"/>
            <w:noWrap/>
            <w:vAlign w:val="bottom"/>
            <w:hideMark/>
          </w:tcPr>
          <w:p w14:paraId="6E8E686F"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£158,539,000</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14:paraId="68496641" w14:textId="33626603"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St Paul</w:t>
            </w:r>
            <w:r w:rsidR="005A789B">
              <w:rPr>
                <w:rFonts w:eastAsia="Times New Roman" w:cs="Times New Roman"/>
                <w:color w:val="000000"/>
                <w:sz w:val="24"/>
                <w:szCs w:val="24"/>
                <w:lang w:eastAsia="en-GB"/>
              </w:rPr>
              <w:t>’</w:t>
            </w:r>
            <w:r w:rsidRPr="0097642C">
              <w:rPr>
                <w:rFonts w:eastAsia="Times New Roman" w:cs="Times New Roman"/>
                <w:color w:val="000000"/>
                <w:sz w:val="24"/>
                <w:szCs w:val="24"/>
                <w:lang w:eastAsia="en-GB"/>
              </w:rPr>
              <w:t>s</w:t>
            </w:r>
          </w:p>
        </w:tc>
      </w:tr>
      <w:tr w:rsidR="00AF0324" w:rsidRPr="0097642C" w14:paraId="05262634" w14:textId="77777777" w:rsidTr="002511F1">
        <w:trPr>
          <w:trHeight w:val="204"/>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7B3007D7" w14:textId="165AF54A" w:rsidR="00AF0324" w:rsidRPr="0097642C" w:rsidRDefault="00AF0324" w:rsidP="00E506DA">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B</w:t>
            </w:r>
            <w:r w:rsidR="00E506DA">
              <w:rPr>
                <w:rFonts w:eastAsia="Times New Roman" w:cs="Times New Roman"/>
                <w:color w:val="000000"/>
                <w:sz w:val="24"/>
                <w:szCs w:val="24"/>
                <w:lang w:eastAsia="en-GB"/>
              </w:rPr>
              <w:t>G</w:t>
            </w:r>
            <w:r w:rsidRPr="0097642C">
              <w:rPr>
                <w:rFonts w:eastAsia="Times New Roman" w:cs="Times New Roman"/>
                <w:color w:val="000000"/>
                <w:sz w:val="24"/>
                <w:szCs w:val="24"/>
                <w:lang w:eastAsia="en-GB"/>
              </w:rPr>
              <w:t xml:space="preserve"> South Asia L</w:t>
            </w:r>
            <w:r w:rsidR="00E506DA">
              <w:rPr>
                <w:rFonts w:eastAsia="Times New Roman" w:cs="Times New Roman"/>
                <w:color w:val="000000"/>
                <w:sz w:val="24"/>
                <w:szCs w:val="24"/>
                <w:lang w:eastAsia="en-GB"/>
              </w:rPr>
              <w:t xml:space="preserve">NG </w:t>
            </w:r>
            <w:r w:rsidRPr="0097642C">
              <w:rPr>
                <w:rFonts w:eastAsia="Times New Roman" w:cs="Times New Roman"/>
                <w:color w:val="000000"/>
                <w:sz w:val="24"/>
                <w:szCs w:val="24"/>
                <w:lang w:eastAsia="en-GB"/>
              </w:rPr>
              <w:t>Limited</w:t>
            </w:r>
          </w:p>
        </w:tc>
        <w:tc>
          <w:tcPr>
            <w:tcW w:w="2268" w:type="dxa"/>
            <w:tcBorders>
              <w:top w:val="nil"/>
              <w:left w:val="nil"/>
              <w:bottom w:val="single" w:sz="4" w:space="0" w:color="auto"/>
              <w:right w:val="single" w:sz="4" w:space="0" w:color="auto"/>
            </w:tcBorders>
            <w:shd w:val="clear" w:color="auto" w:fill="auto"/>
            <w:noWrap/>
            <w:vAlign w:val="bottom"/>
            <w:hideMark/>
          </w:tcPr>
          <w:p w14:paraId="7CA9C075"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935.99%</w:t>
            </w:r>
          </w:p>
        </w:tc>
        <w:tc>
          <w:tcPr>
            <w:tcW w:w="2081" w:type="dxa"/>
            <w:tcBorders>
              <w:top w:val="nil"/>
              <w:left w:val="nil"/>
              <w:bottom w:val="single" w:sz="4" w:space="0" w:color="auto"/>
              <w:right w:val="single" w:sz="4" w:space="0" w:color="auto"/>
            </w:tcBorders>
            <w:shd w:val="clear" w:color="auto" w:fill="auto"/>
            <w:noWrap/>
            <w:vAlign w:val="bottom"/>
            <w:hideMark/>
          </w:tcPr>
          <w:p w14:paraId="1749445D"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£679,702,102</w:t>
            </w:r>
          </w:p>
        </w:tc>
        <w:tc>
          <w:tcPr>
            <w:tcW w:w="1469" w:type="dxa"/>
            <w:tcBorders>
              <w:top w:val="nil"/>
              <w:left w:val="nil"/>
              <w:bottom w:val="single" w:sz="4" w:space="0" w:color="auto"/>
              <w:right w:val="single" w:sz="4" w:space="0" w:color="auto"/>
            </w:tcBorders>
            <w:shd w:val="clear" w:color="auto" w:fill="auto"/>
            <w:noWrap/>
            <w:vAlign w:val="bottom"/>
            <w:hideMark/>
          </w:tcPr>
          <w:p w14:paraId="70D06100"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Waterloo</w:t>
            </w:r>
          </w:p>
        </w:tc>
      </w:tr>
      <w:tr w:rsidR="00AF0324" w:rsidRPr="0097642C" w14:paraId="316A91DF" w14:textId="77777777" w:rsidTr="002511F1">
        <w:trPr>
          <w:trHeight w:val="204"/>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23944D44" w14:textId="03B976CF" w:rsidR="00AF0324" w:rsidRPr="0097642C" w:rsidRDefault="000155A8" w:rsidP="000155A8">
            <w:pPr>
              <w:rPr>
                <w:rFonts w:eastAsia="Times New Roman" w:cs="Times New Roman"/>
                <w:color w:val="000000"/>
                <w:sz w:val="24"/>
                <w:szCs w:val="24"/>
                <w:lang w:eastAsia="en-GB"/>
              </w:rPr>
            </w:pPr>
            <w:r>
              <w:rPr>
                <w:rFonts w:eastAsia="Times New Roman" w:cs="Times New Roman"/>
                <w:color w:val="000000"/>
                <w:sz w:val="24"/>
                <w:szCs w:val="24"/>
                <w:lang w:eastAsia="en-GB"/>
              </w:rPr>
              <w:t>SFDC</w:t>
            </w:r>
            <w:r w:rsidR="00AF0324" w:rsidRPr="0097642C">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EMEA</w:t>
            </w:r>
            <w:r w:rsidR="00AF0324" w:rsidRPr="0097642C">
              <w:rPr>
                <w:rFonts w:eastAsia="Times New Roman" w:cs="Times New Roman"/>
                <w:color w:val="000000"/>
                <w:sz w:val="24"/>
                <w:szCs w:val="24"/>
                <w:lang w:eastAsia="en-GB"/>
              </w:rPr>
              <w:t xml:space="preserve"> Data Centre Limited</w:t>
            </w:r>
          </w:p>
        </w:tc>
        <w:tc>
          <w:tcPr>
            <w:tcW w:w="2268" w:type="dxa"/>
            <w:tcBorders>
              <w:top w:val="nil"/>
              <w:left w:val="nil"/>
              <w:bottom w:val="single" w:sz="4" w:space="0" w:color="auto"/>
              <w:right w:val="single" w:sz="4" w:space="0" w:color="auto"/>
            </w:tcBorders>
            <w:shd w:val="clear" w:color="auto" w:fill="auto"/>
            <w:noWrap/>
            <w:vAlign w:val="bottom"/>
            <w:hideMark/>
          </w:tcPr>
          <w:p w14:paraId="0B650246"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923.69%</w:t>
            </w:r>
          </w:p>
        </w:tc>
        <w:tc>
          <w:tcPr>
            <w:tcW w:w="2081" w:type="dxa"/>
            <w:tcBorders>
              <w:top w:val="nil"/>
              <w:left w:val="nil"/>
              <w:bottom w:val="single" w:sz="4" w:space="0" w:color="auto"/>
              <w:right w:val="single" w:sz="4" w:space="0" w:color="auto"/>
            </w:tcBorders>
            <w:shd w:val="clear" w:color="auto" w:fill="auto"/>
            <w:noWrap/>
            <w:vAlign w:val="bottom"/>
            <w:hideMark/>
          </w:tcPr>
          <w:p w14:paraId="3D14DF5E"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£11,679,474</w:t>
            </w:r>
          </w:p>
        </w:tc>
        <w:tc>
          <w:tcPr>
            <w:tcW w:w="1469" w:type="dxa"/>
            <w:tcBorders>
              <w:top w:val="nil"/>
              <w:left w:val="nil"/>
              <w:bottom w:val="single" w:sz="4" w:space="0" w:color="auto"/>
              <w:right w:val="single" w:sz="4" w:space="0" w:color="auto"/>
            </w:tcBorders>
            <w:shd w:val="clear" w:color="auto" w:fill="auto"/>
            <w:noWrap/>
            <w:vAlign w:val="bottom"/>
            <w:hideMark/>
          </w:tcPr>
          <w:p w14:paraId="64C9EBDE"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Liverpool Street</w:t>
            </w:r>
          </w:p>
        </w:tc>
      </w:tr>
      <w:tr w:rsidR="00AF0324" w:rsidRPr="0097642C" w14:paraId="45B70447" w14:textId="77777777" w:rsidTr="002511F1">
        <w:trPr>
          <w:trHeight w:val="204"/>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606AD2E7" w14:textId="77777777" w:rsidR="00AF0324" w:rsidRPr="0097642C" w:rsidRDefault="00AF0324" w:rsidP="00880AAE">
            <w:pPr>
              <w:rPr>
                <w:rFonts w:eastAsia="Times New Roman" w:cs="Times New Roman"/>
                <w:color w:val="000000"/>
                <w:sz w:val="24"/>
                <w:szCs w:val="24"/>
                <w:lang w:eastAsia="en-GB"/>
              </w:rPr>
            </w:pPr>
            <w:proofErr w:type="spellStart"/>
            <w:r w:rsidRPr="0097642C">
              <w:rPr>
                <w:rFonts w:eastAsia="Times New Roman" w:cs="Times New Roman"/>
                <w:color w:val="000000"/>
                <w:sz w:val="24"/>
                <w:szCs w:val="24"/>
                <w:lang w:eastAsia="en-GB"/>
              </w:rPr>
              <w:t>Abbeygate</w:t>
            </w:r>
            <w:proofErr w:type="spellEnd"/>
            <w:r w:rsidRPr="0097642C">
              <w:rPr>
                <w:rFonts w:eastAsia="Times New Roman" w:cs="Times New Roman"/>
                <w:color w:val="000000"/>
                <w:sz w:val="24"/>
                <w:szCs w:val="24"/>
                <w:lang w:eastAsia="en-GB"/>
              </w:rPr>
              <w:t xml:space="preserve"> Helical(C4.1) LLP</w:t>
            </w:r>
          </w:p>
        </w:tc>
        <w:tc>
          <w:tcPr>
            <w:tcW w:w="2268" w:type="dxa"/>
            <w:tcBorders>
              <w:top w:val="nil"/>
              <w:left w:val="nil"/>
              <w:bottom w:val="single" w:sz="4" w:space="0" w:color="auto"/>
              <w:right w:val="single" w:sz="4" w:space="0" w:color="auto"/>
            </w:tcBorders>
            <w:shd w:val="clear" w:color="auto" w:fill="auto"/>
            <w:noWrap/>
            <w:vAlign w:val="bottom"/>
            <w:hideMark/>
          </w:tcPr>
          <w:p w14:paraId="7D29DF46"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918.31%</w:t>
            </w:r>
          </w:p>
        </w:tc>
        <w:tc>
          <w:tcPr>
            <w:tcW w:w="2081" w:type="dxa"/>
            <w:tcBorders>
              <w:top w:val="nil"/>
              <w:left w:val="nil"/>
              <w:bottom w:val="single" w:sz="4" w:space="0" w:color="auto"/>
              <w:right w:val="single" w:sz="4" w:space="0" w:color="auto"/>
            </w:tcBorders>
            <w:shd w:val="clear" w:color="auto" w:fill="auto"/>
            <w:noWrap/>
            <w:vAlign w:val="bottom"/>
            <w:hideMark/>
          </w:tcPr>
          <w:p w14:paraId="4A678E32"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£6,276,769</w:t>
            </w:r>
          </w:p>
        </w:tc>
        <w:tc>
          <w:tcPr>
            <w:tcW w:w="1469" w:type="dxa"/>
            <w:tcBorders>
              <w:top w:val="nil"/>
              <w:left w:val="nil"/>
              <w:bottom w:val="single" w:sz="4" w:space="0" w:color="auto"/>
              <w:right w:val="single" w:sz="4" w:space="0" w:color="auto"/>
            </w:tcBorders>
            <w:shd w:val="clear" w:color="auto" w:fill="auto"/>
            <w:noWrap/>
            <w:vAlign w:val="bottom"/>
            <w:hideMark/>
          </w:tcPr>
          <w:p w14:paraId="01C6E11F"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Oxford Circus</w:t>
            </w:r>
          </w:p>
        </w:tc>
      </w:tr>
      <w:tr w:rsidR="00AF0324" w:rsidRPr="0097642C" w14:paraId="2EB92A07" w14:textId="77777777" w:rsidTr="002511F1">
        <w:trPr>
          <w:trHeight w:val="204"/>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192C0378" w14:textId="38C57AB0"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 xml:space="preserve">Close Brothers Finance </w:t>
            </w:r>
            <w:r w:rsidR="00101A8E">
              <w:rPr>
                <w:rFonts w:eastAsia="Times New Roman" w:cs="Times New Roman"/>
                <w:color w:val="000000"/>
                <w:sz w:val="24"/>
                <w:szCs w:val="24"/>
                <w:lang w:eastAsia="en-GB"/>
              </w:rPr>
              <w:t>PLC</w:t>
            </w:r>
          </w:p>
        </w:tc>
        <w:tc>
          <w:tcPr>
            <w:tcW w:w="2268" w:type="dxa"/>
            <w:tcBorders>
              <w:top w:val="nil"/>
              <w:left w:val="nil"/>
              <w:bottom w:val="single" w:sz="4" w:space="0" w:color="auto"/>
              <w:right w:val="single" w:sz="4" w:space="0" w:color="auto"/>
            </w:tcBorders>
            <w:shd w:val="clear" w:color="auto" w:fill="auto"/>
            <w:noWrap/>
            <w:vAlign w:val="bottom"/>
            <w:hideMark/>
          </w:tcPr>
          <w:p w14:paraId="488DDDBF"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887.57%</w:t>
            </w:r>
          </w:p>
        </w:tc>
        <w:tc>
          <w:tcPr>
            <w:tcW w:w="2081" w:type="dxa"/>
            <w:tcBorders>
              <w:top w:val="nil"/>
              <w:left w:val="nil"/>
              <w:bottom w:val="single" w:sz="4" w:space="0" w:color="auto"/>
              <w:right w:val="single" w:sz="4" w:space="0" w:color="auto"/>
            </w:tcBorders>
            <w:shd w:val="clear" w:color="auto" w:fill="auto"/>
            <w:noWrap/>
            <w:vAlign w:val="bottom"/>
            <w:hideMark/>
          </w:tcPr>
          <w:p w14:paraId="0580C959"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£11,637,755</w:t>
            </w:r>
          </w:p>
        </w:tc>
        <w:tc>
          <w:tcPr>
            <w:tcW w:w="1469" w:type="dxa"/>
            <w:tcBorders>
              <w:top w:val="nil"/>
              <w:left w:val="nil"/>
              <w:bottom w:val="single" w:sz="4" w:space="0" w:color="auto"/>
              <w:right w:val="single" w:sz="4" w:space="0" w:color="auto"/>
            </w:tcBorders>
            <w:shd w:val="clear" w:color="auto" w:fill="auto"/>
            <w:noWrap/>
            <w:vAlign w:val="bottom"/>
            <w:hideMark/>
          </w:tcPr>
          <w:p w14:paraId="38B91075"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Liverpool Street</w:t>
            </w:r>
          </w:p>
        </w:tc>
      </w:tr>
      <w:tr w:rsidR="00AF0324" w:rsidRPr="0097642C" w14:paraId="4B412DDC" w14:textId="77777777" w:rsidTr="002511F1">
        <w:trPr>
          <w:trHeight w:val="204"/>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108E1A00" w14:textId="77777777" w:rsidR="00AF0324" w:rsidRPr="0097642C" w:rsidRDefault="00AF0324" w:rsidP="00880AAE">
            <w:pPr>
              <w:rPr>
                <w:rFonts w:eastAsia="Times New Roman" w:cs="Times New Roman"/>
                <w:color w:val="000000"/>
                <w:sz w:val="24"/>
                <w:szCs w:val="24"/>
                <w:lang w:eastAsia="en-GB"/>
              </w:rPr>
            </w:pPr>
            <w:proofErr w:type="spellStart"/>
            <w:r w:rsidRPr="0097642C">
              <w:rPr>
                <w:rFonts w:eastAsia="Times New Roman" w:cs="Times New Roman"/>
                <w:color w:val="000000"/>
                <w:sz w:val="24"/>
                <w:szCs w:val="24"/>
                <w:lang w:eastAsia="en-GB"/>
              </w:rPr>
              <w:t>Interhealth</w:t>
            </w:r>
            <w:proofErr w:type="spellEnd"/>
            <w:r w:rsidRPr="0097642C">
              <w:rPr>
                <w:rFonts w:eastAsia="Times New Roman" w:cs="Times New Roman"/>
                <w:color w:val="000000"/>
                <w:sz w:val="24"/>
                <w:szCs w:val="24"/>
                <w:lang w:eastAsia="en-GB"/>
              </w:rPr>
              <w:t xml:space="preserve"> Canada (UK) Limited</w:t>
            </w:r>
          </w:p>
        </w:tc>
        <w:tc>
          <w:tcPr>
            <w:tcW w:w="2268" w:type="dxa"/>
            <w:tcBorders>
              <w:top w:val="nil"/>
              <w:left w:val="nil"/>
              <w:bottom w:val="single" w:sz="4" w:space="0" w:color="auto"/>
              <w:right w:val="single" w:sz="4" w:space="0" w:color="auto"/>
            </w:tcBorders>
            <w:shd w:val="clear" w:color="auto" w:fill="auto"/>
            <w:noWrap/>
            <w:vAlign w:val="bottom"/>
            <w:hideMark/>
          </w:tcPr>
          <w:p w14:paraId="3688221B"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887.41%</w:t>
            </w:r>
          </w:p>
        </w:tc>
        <w:tc>
          <w:tcPr>
            <w:tcW w:w="2081" w:type="dxa"/>
            <w:tcBorders>
              <w:top w:val="nil"/>
              <w:left w:val="nil"/>
              <w:bottom w:val="single" w:sz="4" w:space="0" w:color="auto"/>
              <w:right w:val="single" w:sz="4" w:space="0" w:color="auto"/>
            </w:tcBorders>
            <w:shd w:val="clear" w:color="auto" w:fill="auto"/>
            <w:noWrap/>
            <w:vAlign w:val="bottom"/>
            <w:hideMark/>
          </w:tcPr>
          <w:p w14:paraId="1F9130D0"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£6,074,114</w:t>
            </w:r>
          </w:p>
        </w:tc>
        <w:tc>
          <w:tcPr>
            <w:tcW w:w="1469" w:type="dxa"/>
            <w:tcBorders>
              <w:top w:val="nil"/>
              <w:left w:val="nil"/>
              <w:bottom w:val="single" w:sz="4" w:space="0" w:color="auto"/>
              <w:right w:val="single" w:sz="4" w:space="0" w:color="auto"/>
            </w:tcBorders>
            <w:shd w:val="clear" w:color="auto" w:fill="auto"/>
            <w:noWrap/>
            <w:vAlign w:val="bottom"/>
            <w:hideMark/>
          </w:tcPr>
          <w:p w14:paraId="200A6E96"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Gloucester Road</w:t>
            </w:r>
          </w:p>
        </w:tc>
      </w:tr>
      <w:tr w:rsidR="00AF0324" w:rsidRPr="0097642C" w14:paraId="1E5EE140" w14:textId="77777777" w:rsidTr="002511F1">
        <w:trPr>
          <w:trHeight w:val="204"/>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1E8921B2"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Aberdeen Infrastructure Investments (No 5) Limited</w:t>
            </w:r>
          </w:p>
        </w:tc>
        <w:tc>
          <w:tcPr>
            <w:tcW w:w="2268" w:type="dxa"/>
            <w:tcBorders>
              <w:top w:val="nil"/>
              <w:left w:val="nil"/>
              <w:bottom w:val="single" w:sz="4" w:space="0" w:color="auto"/>
              <w:right w:val="single" w:sz="4" w:space="0" w:color="auto"/>
            </w:tcBorders>
            <w:shd w:val="clear" w:color="auto" w:fill="auto"/>
            <w:noWrap/>
            <w:vAlign w:val="bottom"/>
            <w:hideMark/>
          </w:tcPr>
          <w:p w14:paraId="0DDE7C2A"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878.85%</w:t>
            </w:r>
          </w:p>
        </w:tc>
        <w:tc>
          <w:tcPr>
            <w:tcW w:w="2081" w:type="dxa"/>
            <w:tcBorders>
              <w:top w:val="nil"/>
              <w:left w:val="nil"/>
              <w:bottom w:val="single" w:sz="4" w:space="0" w:color="auto"/>
              <w:right w:val="single" w:sz="4" w:space="0" w:color="auto"/>
            </w:tcBorders>
            <w:shd w:val="clear" w:color="auto" w:fill="auto"/>
            <w:noWrap/>
            <w:vAlign w:val="bottom"/>
            <w:hideMark/>
          </w:tcPr>
          <w:p w14:paraId="2B4E0A36"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£7,115,751</w:t>
            </w:r>
          </w:p>
        </w:tc>
        <w:tc>
          <w:tcPr>
            <w:tcW w:w="1469" w:type="dxa"/>
            <w:tcBorders>
              <w:top w:val="nil"/>
              <w:left w:val="nil"/>
              <w:bottom w:val="single" w:sz="4" w:space="0" w:color="auto"/>
              <w:right w:val="single" w:sz="4" w:space="0" w:color="auto"/>
            </w:tcBorders>
            <w:shd w:val="clear" w:color="auto" w:fill="auto"/>
            <w:noWrap/>
            <w:vAlign w:val="bottom"/>
            <w:hideMark/>
          </w:tcPr>
          <w:p w14:paraId="6BEA80DF"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Mansion House</w:t>
            </w:r>
          </w:p>
        </w:tc>
      </w:tr>
      <w:tr w:rsidR="00AF0324" w:rsidRPr="0097642C" w14:paraId="767B071A" w14:textId="77777777" w:rsidTr="002511F1">
        <w:trPr>
          <w:trHeight w:val="204"/>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38F42001"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Greenland (United Kingdom) Investment Limited</w:t>
            </w:r>
          </w:p>
        </w:tc>
        <w:tc>
          <w:tcPr>
            <w:tcW w:w="2268" w:type="dxa"/>
            <w:tcBorders>
              <w:top w:val="nil"/>
              <w:left w:val="nil"/>
              <w:bottom w:val="single" w:sz="4" w:space="0" w:color="auto"/>
              <w:right w:val="single" w:sz="4" w:space="0" w:color="auto"/>
            </w:tcBorders>
            <w:shd w:val="clear" w:color="auto" w:fill="auto"/>
            <w:noWrap/>
            <w:vAlign w:val="bottom"/>
            <w:hideMark/>
          </w:tcPr>
          <w:p w14:paraId="087C9258"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878.73%</w:t>
            </w:r>
          </w:p>
        </w:tc>
        <w:tc>
          <w:tcPr>
            <w:tcW w:w="2081" w:type="dxa"/>
            <w:tcBorders>
              <w:top w:val="nil"/>
              <w:left w:val="nil"/>
              <w:bottom w:val="single" w:sz="4" w:space="0" w:color="auto"/>
              <w:right w:val="single" w:sz="4" w:space="0" w:color="auto"/>
            </w:tcBorders>
            <w:shd w:val="clear" w:color="auto" w:fill="auto"/>
            <w:noWrap/>
            <w:vAlign w:val="bottom"/>
            <w:hideMark/>
          </w:tcPr>
          <w:p w14:paraId="2E06F47D"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£17,870,042</w:t>
            </w:r>
          </w:p>
        </w:tc>
        <w:tc>
          <w:tcPr>
            <w:tcW w:w="1469" w:type="dxa"/>
            <w:tcBorders>
              <w:top w:val="nil"/>
              <w:left w:val="nil"/>
              <w:bottom w:val="single" w:sz="4" w:space="0" w:color="auto"/>
              <w:right w:val="single" w:sz="4" w:space="0" w:color="auto"/>
            </w:tcBorders>
            <w:shd w:val="clear" w:color="auto" w:fill="auto"/>
            <w:noWrap/>
            <w:vAlign w:val="bottom"/>
            <w:hideMark/>
          </w:tcPr>
          <w:p w14:paraId="5BDE33EE"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Moorgate</w:t>
            </w:r>
          </w:p>
        </w:tc>
      </w:tr>
      <w:tr w:rsidR="00AF0324" w:rsidRPr="0097642C" w14:paraId="5521F502" w14:textId="77777777" w:rsidTr="002511F1">
        <w:trPr>
          <w:trHeight w:val="204"/>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68CC61E2"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Citigroup Capital UK Limited</w:t>
            </w:r>
          </w:p>
        </w:tc>
        <w:tc>
          <w:tcPr>
            <w:tcW w:w="2268" w:type="dxa"/>
            <w:tcBorders>
              <w:top w:val="nil"/>
              <w:left w:val="nil"/>
              <w:bottom w:val="single" w:sz="4" w:space="0" w:color="auto"/>
              <w:right w:val="single" w:sz="4" w:space="0" w:color="auto"/>
            </w:tcBorders>
            <w:shd w:val="clear" w:color="auto" w:fill="auto"/>
            <w:noWrap/>
            <w:vAlign w:val="bottom"/>
            <w:hideMark/>
          </w:tcPr>
          <w:p w14:paraId="03D41B9C"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874.81%</w:t>
            </w:r>
          </w:p>
        </w:tc>
        <w:tc>
          <w:tcPr>
            <w:tcW w:w="2081" w:type="dxa"/>
            <w:tcBorders>
              <w:top w:val="nil"/>
              <w:left w:val="nil"/>
              <w:bottom w:val="single" w:sz="4" w:space="0" w:color="auto"/>
              <w:right w:val="single" w:sz="4" w:space="0" w:color="auto"/>
            </w:tcBorders>
            <w:shd w:val="clear" w:color="auto" w:fill="auto"/>
            <w:noWrap/>
            <w:vAlign w:val="bottom"/>
            <w:hideMark/>
          </w:tcPr>
          <w:p w14:paraId="7B33D07D"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£63,665,000</w:t>
            </w:r>
          </w:p>
        </w:tc>
        <w:tc>
          <w:tcPr>
            <w:tcW w:w="1469" w:type="dxa"/>
            <w:tcBorders>
              <w:top w:val="nil"/>
              <w:left w:val="nil"/>
              <w:bottom w:val="single" w:sz="4" w:space="0" w:color="auto"/>
              <w:right w:val="single" w:sz="4" w:space="0" w:color="auto"/>
            </w:tcBorders>
            <w:shd w:val="clear" w:color="auto" w:fill="auto"/>
            <w:noWrap/>
            <w:vAlign w:val="bottom"/>
            <w:hideMark/>
          </w:tcPr>
          <w:p w14:paraId="0DD23AAF"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Tower Hill</w:t>
            </w:r>
          </w:p>
        </w:tc>
      </w:tr>
      <w:tr w:rsidR="00AF0324" w:rsidRPr="0097642C" w14:paraId="67719A93" w14:textId="77777777" w:rsidTr="002511F1">
        <w:trPr>
          <w:trHeight w:val="204"/>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12C138BA"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 xml:space="preserve">Beit </w:t>
            </w:r>
            <w:proofErr w:type="spellStart"/>
            <w:r w:rsidRPr="0097642C">
              <w:rPr>
                <w:rFonts w:eastAsia="Times New Roman" w:cs="Times New Roman"/>
                <w:color w:val="000000"/>
                <w:sz w:val="24"/>
                <w:szCs w:val="24"/>
                <w:lang w:eastAsia="en-GB"/>
              </w:rPr>
              <w:t>Halochem</w:t>
            </w:r>
            <w:proofErr w:type="spellEnd"/>
            <w:r w:rsidRPr="0097642C">
              <w:rPr>
                <w:rFonts w:eastAsia="Times New Roman" w:cs="Times New Roman"/>
                <w:color w:val="000000"/>
                <w:sz w:val="24"/>
                <w:szCs w:val="24"/>
                <w:lang w:eastAsia="en-GB"/>
              </w:rPr>
              <w:t xml:space="preserve"> UK</w:t>
            </w:r>
          </w:p>
        </w:tc>
        <w:tc>
          <w:tcPr>
            <w:tcW w:w="2268" w:type="dxa"/>
            <w:tcBorders>
              <w:top w:val="nil"/>
              <w:left w:val="nil"/>
              <w:bottom w:val="single" w:sz="4" w:space="0" w:color="auto"/>
              <w:right w:val="single" w:sz="4" w:space="0" w:color="auto"/>
            </w:tcBorders>
            <w:shd w:val="clear" w:color="auto" w:fill="auto"/>
            <w:noWrap/>
            <w:vAlign w:val="bottom"/>
            <w:hideMark/>
          </w:tcPr>
          <w:p w14:paraId="19A9F9BC"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866.18%</w:t>
            </w:r>
          </w:p>
        </w:tc>
        <w:tc>
          <w:tcPr>
            <w:tcW w:w="2081" w:type="dxa"/>
            <w:tcBorders>
              <w:top w:val="nil"/>
              <w:left w:val="nil"/>
              <w:bottom w:val="single" w:sz="4" w:space="0" w:color="auto"/>
              <w:right w:val="single" w:sz="4" w:space="0" w:color="auto"/>
            </w:tcBorders>
            <w:shd w:val="clear" w:color="auto" w:fill="auto"/>
            <w:noWrap/>
            <w:vAlign w:val="bottom"/>
            <w:hideMark/>
          </w:tcPr>
          <w:p w14:paraId="28DE63AF"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£7,522,445</w:t>
            </w:r>
          </w:p>
        </w:tc>
        <w:tc>
          <w:tcPr>
            <w:tcW w:w="1469" w:type="dxa"/>
            <w:tcBorders>
              <w:top w:val="nil"/>
              <w:left w:val="nil"/>
              <w:bottom w:val="single" w:sz="4" w:space="0" w:color="auto"/>
              <w:right w:val="single" w:sz="4" w:space="0" w:color="auto"/>
            </w:tcBorders>
            <w:shd w:val="clear" w:color="auto" w:fill="auto"/>
            <w:noWrap/>
            <w:vAlign w:val="bottom"/>
            <w:hideMark/>
          </w:tcPr>
          <w:p w14:paraId="76A307DD"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Marylebone</w:t>
            </w:r>
          </w:p>
        </w:tc>
      </w:tr>
    </w:tbl>
    <w:p w14:paraId="0C43EBD2" w14:textId="77777777" w:rsidR="00AF0324" w:rsidRPr="0097642C" w:rsidRDefault="00AF0324" w:rsidP="00AF0324">
      <w:pPr>
        <w:rPr>
          <w:rFonts w:cs="Times New Roman"/>
          <w:sz w:val="24"/>
          <w:szCs w:val="24"/>
        </w:rPr>
      </w:pPr>
    </w:p>
    <w:p w14:paraId="5218C838" w14:textId="77777777" w:rsidR="00BE74EB" w:rsidRDefault="00BE74EB" w:rsidP="00AF0324">
      <w:pPr>
        <w:rPr>
          <w:rFonts w:cs="Times New Roman"/>
          <w:sz w:val="24"/>
          <w:szCs w:val="24"/>
        </w:rPr>
      </w:pPr>
    </w:p>
    <w:p w14:paraId="1BC5F03A" w14:textId="77777777" w:rsidR="00BE74EB" w:rsidRDefault="00BE74EB" w:rsidP="00AF0324">
      <w:pPr>
        <w:rPr>
          <w:rFonts w:cs="Times New Roman"/>
          <w:sz w:val="24"/>
          <w:szCs w:val="24"/>
        </w:rPr>
      </w:pPr>
    </w:p>
    <w:p w14:paraId="1DC2EE95" w14:textId="08964F11" w:rsidR="006A00CA" w:rsidRDefault="00AF0324" w:rsidP="00AF0324">
      <w:pPr>
        <w:rPr>
          <w:rFonts w:cs="Times New Roman"/>
          <w:sz w:val="24"/>
          <w:szCs w:val="24"/>
        </w:rPr>
      </w:pPr>
      <w:r w:rsidRPr="0097642C">
        <w:rPr>
          <w:rFonts w:cs="Times New Roman"/>
          <w:sz w:val="24"/>
          <w:szCs w:val="24"/>
        </w:rPr>
        <w:t>Top 5 companies for annual turnover on the Bakerloo Line:</w:t>
      </w:r>
    </w:p>
    <w:p w14:paraId="12ABFCE5" w14:textId="77777777" w:rsidR="004E3AFE" w:rsidRPr="0097642C" w:rsidRDefault="004E3AFE" w:rsidP="00AF0324">
      <w:pPr>
        <w:rPr>
          <w:rFonts w:cs="Times New Roman"/>
          <w:sz w:val="24"/>
          <w:szCs w:val="24"/>
        </w:rPr>
      </w:pPr>
    </w:p>
    <w:tbl>
      <w:tblPr>
        <w:tblW w:w="9020" w:type="dxa"/>
        <w:tblLook w:val="04A0" w:firstRow="1" w:lastRow="0" w:firstColumn="1" w:lastColumn="0" w:noHBand="0" w:noVBand="1"/>
      </w:tblPr>
      <w:tblGrid>
        <w:gridCol w:w="4055"/>
        <w:gridCol w:w="2432"/>
        <w:gridCol w:w="2533"/>
      </w:tblGrid>
      <w:tr w:rsidR="00AF0324" w:rsidRPr="0097642C" w14:paraId="54EE1D1A" w14:textId="77777777" w:rsidTr="006E07FA">
        <w:trPr>
          <w:trHeight w:val="273"/>
        </w:trPr>
        <w:tc>
          <w:tcPr>
            <w:tcW w:w="40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BBEFDF" w14:textId="77777777" w:rsidR="00AF0324" w:rsidRPr="00A550C3" w:rsidRDefault="00AF0324" w:rsidP="00880AAE">
            <w:pPr>
              <w:rPr>
                <w:rFonts w:eastAsia="Times New Roman" w:cs="Times New Roman"/>
                <w:b/>
                <w:color w:val="000000"/>
                <w:sz w:val="24"/>
                <w:szCs w:val="24"/>
                <w:lang w:eastAsia="en-GB"/>
              </w:rPr>
            </w:pPr>
            <w:r w:rsidRPr="00A550C3">
              <w:rPr>
                <w:rFonts w:eastAsia="Times New Roman" w:cs="Times New Roman"/>
                <w:b/>
                <w:color w:val="000000"/>
                <w:sz w:val="24"/>
                <w:szCs w:val="24"/>
                <w:lang w:eastAsia="en-GB"/>
              </w:rPr>
              <w:t>Company Name</w:t>
            </w:r>
          </w:p>
        </w:tc>
        <w:tc>
          <w:tcPr>
            <w:tcW w:w="2432" w:type="dxa"/>
            <w:tcBorders>
              <w:top w:val="single" w:sz="4" w:space="0" w:color="auto"/>
              <w:left w:val="nil"/>
              <w:bottom w:val="single" w:sz="4" w:space="0" w:color="auto"/>
              <w:right w:val="single" w:sz="4" w:space="0" w:color="auto"/>
            </w:tcBorders>
            <w:shd w:val="clear" w:color="auto" w:fill="auto"/>
            <w:vAlign w:val="bottom"/>
            <w:hideMark/>
          </w:tcPr>
          <w:p w14:paraId="05EE1A8D" w14:textId="77777777" w:rsidR="00AF0324" w:rsidRPr="00A550C3" w:rsidRDefault="00AF0324" w:rsidP="00880AAE">
            <w:pPr>
              <w:rPr>
                <w:rFonts w:eastAsia="Times New Roman" w:cs="Times New Roman"/>
                <w:b/>
                <w:color w:val="000000"/>
                <w:sz w:val="24"/>
                <w:szCs w:val="24"/>
                <w:lang w:eastAsia="en-GB"/>
              </w:rPr>
            </w:pPr>
            <w:r w:rsidRPr="00A550C3">
              <w:rPr>
                <w:rFonts w:eastAsia="Times New Roman" w:cs="Times New Roman"/>
                <w:b/>
                <w:color w:val="000000"/>
                <w:sz w:val="24"/>
                <w:szCs w:val="24"/>
                <w:lang w:eastAsia="en-GB"/>
              </w:rPr>
              <w:t>Annual Turnover</w:t>
            </w:r>
          </w:p>
        </w:tc>
        <w:tc>
          <w:tcPr>
            <w:tcW w:w="2533" w:type="dxa"/>
            <w:tcBorders>
              <w:top w:val="single" w:sz="4" w:space="0" w:color="auto"/>
              <w:left w:val="nil"/>
              <w:bottom w:val="single" w:sz="4" w:space="0" w:color="auto"/>
              <w:right w:val="single" w:sz="4" w:space="0" w:color="auto"/>
            </w:tcBorders>
            <w:shd w:val="clear" w:color="auto" w:fill="auto"/>
            <w:vAlign w:val="bottom"/>
            <w:hideMark/>
          </w:tcPr>
          <w:p w14:paraId="1A7D5337" w14:textId="77777777" w:rsidR="00AF0324" w:rsidRPr="00A550C3" w:rsidRDefault="00AF0324" w:rsidP="00880AAE">
            <w:pPr>
              <w:rPr>
                <w:rFonts w:eastAsia="Times New Roman" w:cs="Times New Roman"/>
                <w:b/>
                <w:color w:val="000000"/>
                <w:sz w:val="24"/>
                <w:szCs w:val="24"/>
                <w:lang w:eastAsia="en-GB"/>
              </w:rPr>
            </w:pPr>
            <w:r w:rsidRPr="00A550C3">
              <w:rPr>
                <w:rFonts w:eastAsia="Times New Roman" w:cs="Times New Roman"/>
                <w:b/>
                <w:color w:val="000000"/>
                <w:sz w:val="24"/>
                <w:szCs w:val="24"/>
                <w:lang w:eastAsia="en-GB"/>
              </w:rPr>
              <w:t>Annual Growth Rate</w:t>
            </w:r>
          </w:p>
        </w:tc>
      </w:tr>
      <w:tr w:rsidR="00AF0324" w:rsidRPr="0097642C" w14:paraId="1EA18219" w14:textId="77777777" w:rsidTr="004E3AFE">
        <w:trPr>
          <w:trHeight w:val="273"/>
        </w:trPr>
        <w:tc>
          <w:tcPr>
            <w:tcW w:w="4055" w:type="dxa"/>
            <w:tcBorders>
              <w:top w:val="nil"/>
              <w:left w:val="single" w:sz="4" w:space="0" w:color="auto"/>
              <w:bottom w:val="single" w:sz="4" w:space="0" w:color="auto"/>
              <w:right w:val="single" w:sz="4" w:space="0" w:color="auto"/>
            </w:tcBorders>
            <w:shd w:val="clear" w:color="auto" w:fill="auto"/>
            <w:hideMark/>
          </w:tcPr>
          <w:p w14:paraId="4DDF4A28" w14:textId="49ACCA0E"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 xml:space="preserve">Royal Dutch Shell </w:t>
            </w:r>
            <w:r w:rsidR="00101A8E">
              <w:rPr>
                <w:rFonts w:eastAsia="Times New Roman" w:cs="Times New Roman"/>
                <w:color w:val="000000"/>
                <w:sz w:val="24"/>
                <w:szCs w:val="24"/>
                <w:lang w:eastAsia="en-GB"/>
              </w:rPr>
              <w:t>PLC</w:t>
            </w:r>
          </w:p>
        </w:tc>
        <w:tc>
          <w:tcPr>
            <w:tcW w:w="2432" w:type="dxa"/>
            <w:tcBorders>
              <w:top w:val="nil"/>
              <w:left w:val="nil"/>
              <w:bottom w:val="single" w:sz="4" w:space="0" w:color="auto"/>
              <w:right w:val="single" w:sz="4" w:space="0" w:color="auto"/>
            </w:tcBorders>
            <w:shd w:val="clear" w:color="auto" w:fill="auto"/>
            <w:hideMark/>
          </w:tcPr>
          <w:p w14:paraId="0A2CC6F6"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£183,000,000,000</w:t>
            </w:r>
          </w:p>
        </w:tc>
        <w:tc>
          <w:tcPr>
            <w:tcW w:w="2533" w:type="dxa"/>
            <w:tcBorders>
              <w:top w:val="nil"/>
              <w:left w:val="nil"/>
              <w:bottom w:val="single" w:sz="4" w:space="0" w:color="auto"/>
              <w:right w:val="single" w:sz="4" w:space="0" w:color="auto"/>
            </w:tcBorders>
            <w:shd w:val="clear" w:color="auto" w:fill="auto"/>
            <w:hideMark/>
          </w:tcPr>
          <w:p w14:paraId="72D98A74"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-37.08%</w:t>
            </w:r>
          </w:p>
        </w:tc>
      </w:tr>
      <w:tr w:rsidR="00AF0324" w:rsidRPr="0097642C" w14:paraId="51E3D5AC" w14:textId="77777777" w:rsidTr="004E3AFE">
        <w:trPr>
          <w:trHeight w:val="273"/>
        </w:trPr>
        <w:tc>
          <w:tcPr>
            <w:tcW w:w="4055" w:type="dxa"/>
            <w:tcBorders>
              <w:top w:val="nil"/>
              <w:left w:val="single" w:sz="4" w:space="0" w:color="auto"/>
              <w:bottom w:val="single" w:sz="4" w:space="0" w:color="auto"/>
              <w:right w:val="single" w:sz="4" w:space="0" w:color="auto"/>
            </w:tcBorders>
            <w:shd w:val="clear" w:color="auto" w:fill="auto"/>
            <w:hideMark/>
          </w:tcPr>
          <w:p w14:paraId="3508B999"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Shell Trading International Limited</w:t>
            </w:r>
          </w:p>
        </w:tc>
        <w:tc>
          <w:tcPr>
            <w:tcW w:w="2432" w:type="dxa"/>
            <w:tcBorders>
              <w:top w:val="nil"/>
              <w:left w:val="nil"/>
              <w:bottom w:val="single" w:sz="4" w:space="0" w:color="auto"/>
              <w:right w:val="single" w:sz="4" w:space="0" w:color="auto"/>
            </w:tcBorders>
            <w:shd w:val="clear" w:color="auto" w:fill="auto"/>
            <w:hideMark/>
          </w:tcPr>
          <w:p w14:paraId="2AC4E51F"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£47,113,500,415</w:t>
            </w:r>
          </w:p>
        </w:tc>
        <w:tc>
          <w:tcPr>
            <w:tcW w:w="2533" w:type="dxa"/>
            <w:tcBorders>
              <w:top w:val="nil"/>
              <w:left w:val="nil"/>
              <w:bottom w:val="single" w:sz="4" w:space="0" w:color="auto"/>
              <w:right w:val="single" w:sz="4" w:space="0" w:color="auto"/>
            </w:tcBorders>
            <w:shd w:val="clear" w:color="auto" w:fill="auto"/>
            <w:hideMark/>
          </w:tcPr>
          <w:p w14:paraId="5E969520"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-42.66%</w:t>
            </w:r>
          </w:p>
        </w:tc>
      </w:tr>
      <w:tr w:rsidR="00AF0324" w:rsidRPr="0097642C" w14:paraId="140DFEC2" w14:textId="77777777" w:rsidTr="004E3AFE">
        <w:trPr>
          <w:trHeight w:val="273"/>
        </w:trPr>
        <w:tc>
          <w:tcPr>
            <w:tcW w:w="4055" w:type="dxa"/>
            <w:tcBorders>
              <w:top w:val="nil"/>
              <w:left w:val="single" w:sz="4" w:space="0" w:color="auto"/>
              <w:bottom w:val="single" w:sz="4" w:space="0" w:color="auto"/>
              <w:right w:val="single" w:sz="4" w:space="0" w:color="auto"/>
            </w:tcBorders>
            <w:shd w:val="clear" w:color="auto" w:fill="auto"/>
            <w:hideMark/>
          </w:tcPr>
          <w:p w14:paraId="2C891AA7" w14:textId="4990002A" w:rsidR="00AF0324" w:rsidRPr="0097642C" w:rsidRDefault="00AF0324" w:rsidP="00880AAE">
            <w:pPr>
              <w:rPr>
                <w:rFonts w:eastAsia="Times New Roman" w:cs="Times New Roman"/>
                <w:color w:val="000000"/>
                <w:sz w:val="24"/>
                <w:szCs w:val="24"/>
                <w:lang w:eastAsia="en-GB"/>
              </w:rPr>
            </w:pPr>
            <w:proofErr w:type="spellStart"/>
            <w:r w:rsidRPr="0097642C">
              <w:rPr>
                <w:rFonts w:eastAsia="Times New Roman" w:cs="Times New Roman"/>
                <w:color w:val="000000"/>
                <w:sz w:val="24"/>
                <w:szCs w:val="24"/>
                <w:lang w:eastAsia="en-GB"/>
              </w:rPr>
              <w:t>Astrazeneca</w:t>
            </w:r>
            <w:proofErr w:type="spellEnd"/>
            <w:r w:rsidRPr="0097642C">
              <w:rPr>
                <w:rFonts w:eastAsia="Times New Roman" w:cs="Times New Roman"/>
                <w:color w:val="000000"/>
                <w:sz w:val="24"/>
                <w:szCs w:val="24"/>
                <w:lang w:eastAsia="en-GB"/>
              </w:rPr>
              <w:t xml:space="preserve"> </w:t>
            </w:r>
            <w:r w:rsidR="00101A8E">
              <w:rPr>
                <w:rFonts w:eastAsia="Times New Roman" w:cs="Times New Roman"/>
                <w:color w:val="000000"/>
                <w:sz w:val="24"/>
                <w:szCs w:val="24"/>
                <w:lang w:eastAsia="en-GB"/>
              </w:rPr>
              <w:t>PLC</w:t>
            </w:r>
          </w:p>
        </w:tc>
        <w:tc>
          <w:tcPr>
            <w:tcW w:w="2432" w:type="dxa"/>
            <w:tcBorders>
              <w:top w:val="nil"/>
              <w:left w:val="nil"/>
              <w:bottom w:val="single" w:sz="4" w:space="0" w:color="auto"/>
              <w:right w:val="single" w:sz="4" w:space="0" w:color="auto"/>
            </w:tcBorders>
            <w:shd w:val="clear" w:color="auto" w:fill="auto"/>
            <w:hideMark/>
          </w:tcPr>
          <w:p w14:paraId="22D0331D"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£18,271,093,692</w:t>
            </w:r>
          </w:p>
        </w:tc>
        <w:tc>
          <w:tcPr>
            <w:tcW w:w="2533" w:type="dxa"/>
            <w:tcBorders>
              <w:top w:val="nil"/>
              <w:left w:val="nil"/>
              <w:bottom w:val="single" w:sz="4" w:space="0" w:color="auto"/>
              <w:right w:val="single" w:sz="4" w:space="0" w:color="auto"/>
            </w:tcBorders>
            <w:shd w:val="clear" w:color="auto" w:fill="auto"/>
            <w:hideMark/>
          </w:tcPr>
          <w:p w14:paraId="2845AD16"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-69.30%</w:t>
            </w:r>
          </w:p>
        </w:tc>
      </w:tr>
      <w:tr w:rsidR="00AF0324" w:rsidRPr="0097642C" w14:paraId="57C83639" w14:textId="77777777" w:rsidTr="004E3AFE">
        <w:trPr>
          <w:trHeight w:val="273"/>
        </w:trPr>
        <w:tc>
          <w:tcPr>
            <w:tcW w:w="4055" w:type="dxa"/>
            <w:tcBorders>
              <w:top w:val="nil"/>
              <w:left w:val="single" w:sz="4" w:space="0" w:color="auto"/>
              <w:bottom w:val="single" w:sz="4" w:space="0" w:color="auto"/>
              <w:right w:val="single" w:sz="4" w:space="0" w:color="auto"/>
            </w:tcBorders>
            <w:shd w:val="clear" w:color="auto" w:fill="auto"/>
            <w:hideMark/>
          </w:tcPr>
          <w:p w14:paraId="77F3232D" w14:textId="317B6E3D" w:rsidR="00AF0324" w:rsidRPr="0097642C" w:rsidRDefault="00AF0324" w:rsidP="00E506DA">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B</w:t>
            </w:r>
            <w:r w:rsidR="00E506DA">
              <w:rPr>
                <w:rFonts w:eastAsia="Times New Roman" w:cs="Times New Roman"/>
                <w:color w:val="000000"/>
                <w:sz w:val="24"/>
                <w:szCs w:val="24"/>
                <w:lang w:eastAsia="en-GB"/>
              </w:rPr>
              <w:t>AE</w:t>
            </w:r>
            <w:r w:rsidRPr="0097642C">
              <w:rPr>
                <w:rFonts w:eastAsia="Times New Roman" w:cs="Times New Roman"/>
                <w:color w:val="000000"/>
                <w:sz w:val="24"/>
                <w:szCs w:val="24"/>
                <w:lang w:eastAsia="en-GB"/>
              </w:rPr>
              <w:t xml:space="preserve"> Systems </w:t>
            </w:r>
            <w:r w:rsidR="00101A8E">
              <w:rPr>
                <w:rFonts w:eastAsia="Times New Roman" w:cs="Times New Roman"/>
                <w:color w:val="000000"/>
                <w:sz w:val="24"/>
                <w:szCs w:val="24"/>
                <w:lang w:eastAsia="en-GB"/>
              </w:rPr>
              <w:t>PLC</w:t>
            </w:r>
          </w:p>
        </w:tc>
        <w:tc>
          <w:tcPr>
            <w:tcW w:w="2432" w:type="dxa"/>
            <w:tcBorders>
              <w:top w:val="nil"/>
              <w:left w:val="nil"/>
              <w:bottom w:val="single" w:sz="4" w:space="0" w:color="auto"/>
              <w:right w:val="single" w:sz="4" w:space="0" w:color="auto"/>
            </w:tcBorders>
            <w:shd w:val="clear" w:color="auto" w:fill="auto"/>
            <w:hideMark/>
          </w:tcPr>
          <w:p w14:paraId="45997939"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£16,787,000,000</w:t>
            </w:r>
          </w:p>
        </w:tc>
        <w:tc>
          <w:tcPr>
            <w:tcW w:w="2533" w:type="dxa"/>
            <w:tcBorders>
              <w:top w:val="nil"/>
              <w:left w:val="nil"/>
              <w:bottom w:val="single" w:sz="4" w:space="0" w:color="auto"/>
              <w:right w:val="single" w:sz="4" w:space="0" w:color="auto"/>
            </w:tcBorders>
            <w:shd w:val="clear" w:color="auto" w:fill="auto"/>
            <w:hideMark/>
          </w:tcPr>
          <w:p w14:paraId="2BCC4D8F"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87.90%</w:t>
            </w:r>
          </w:p>
        </w:tc>
      </w:tr>
      <w:tr w:rsidR="00AF0324" w:rsidRPr="0097642C" w14:paraId="248BDA96" w14:textId="77777777" w:rsidTr="004E3AFE">
        <w:trPr>
          <w:trHeight w:val="273"/>
        </w:trPr>
        <w:tc>
          <w:tcPr>
            <w:tcW w:w="4055" w:type="dxa"/>
            <w:tcBorders>
              <w:top w:val="nil"/>
              <w:left w:val="single" w:sz="4" w:space="0" w:color="auto"/>
              <w:bottom w:val="single" w:sz="4" w:space="0" w:color="auto"/>
              <w:right w:val="single" w:sz="4" w:space="0" w:color="auto"/>
            </w:tcBorders>
            <w:shd w:val="clear" w:color="auto" w:fill="auto"/>
            <w:hideMark/>
          </w:tcPr>
          <w:p w14:paraId="36D5094A" w14:textId="3DCFC45C" w:rsidR="00AF0324" w:rsidRPr="0097642C" w:rsidRDefault="00AF0324" w:rsidP="00E506DA">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B</w:t>
            </w:r>
            <w:r w:rsidR="00E506DA">
              <w:rPr>
                <w:rFonts w:eastAsia="Times New Roman" w:cs="Times New Roman"/>
                <w:color w:val="000000"/>
                <w:sz w:val="24"/>
                <w:szCs w:val="24"/>
                <w:lang w:eastAsia="en-GB"/>
              </w:rPr>
              <w:t>G</w:t>
            </w:r>
            <w:r w:rsidRPr="0097642C">
              <w:rPr>
                <w:rFonts w:eastAsia="Times New Roman" w:cs="Times New Roman"/>
                <w:color w:val="000000"/>
                <w:sz w:val="24"/>
                <w:szCs w:val="24"/>
                <w:lang w:eastAsia="en-GB"/>
              </w:rPr>
              <w:t xml:space="preserve"> Energy Holdings Limited</w:t>
            </w:r>
          </w:p>
        </w:tc>
        <w:tc>
          <w:tcPr>
            <w:tcW w:w="2432" w:type="dxa"/>
            <w:tcBorders>
              <w:top w:val="nil"/>
              <w:left w:val="nil"/>
              <w:bottom w:val="single" w:sz="4" w:space="0" w:color="auto"/>
              <w:right w:val="single" w:sz="4" w:space="0" w:color="auto"/>
            </w:tcBorders>
            <w:shd w:val="clear" w:color="auto" w:fill="auto"/>
            <w:hideMark/>
          </w:tcPr>
          <w:p w14:paraId="25D23AE5"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£11,941,137,322</w:t>
            </w:r>
          </w:p>
        </w:tc>
        <w:tc>
          <w:tcPr>
            <w:tcW w:w="2533" w:type="dxa"/>
            <w:tcBorders>
              <w:top w:val="nil"/>
              <w:left w:val="nil"/>
              <w:bottom w:val="single" w:sz="4" w:space="0" w:color="auto"/>
              <w:right w:val="single" w:sz="4" w:space="0" w:color="auto"/>
            </w:tcBorders>
            <w:shd w:val="clear" w:color="auto" w:fill="auto"/>
            <w:hideMark/>
          </w:tcPr>
          <w:p w14:paraId="0D2A22F5"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-16.28%</w:t>
            </w:r>
          </w:p>
        </w:tc>
      </w:tr>
    </w:tbl>
    <w:p w14:paraId="244D6E35" w14:textId="77777777" w:rsidR="00AF0324" w:rsidRPr="0097642C" w:rsidRDefault="00AF0324" w:rsidP="00AF0324">
      <w:pPr>
        <w:rPr>
          <w:rFonts w:cs="Times New Roman"/>
          <w:sz w:val="24"/>
          <w:szCs w:val="24"/>
        </w:rPr>
      </w:pPr>
    </w:p>
    <w:p w14:paraId="4989A632" w14:textId="77777777" w:rsidR="00AF0324" w:rsidRDefault="00AF0324" w:rsidP="00AF0324">
      <w:pPr>
        <w:rPr>
          <w:rFonts w:cs="Times New Roman"/>
          <w:sz w:val="24"/>
          <w:szCs w:val="24"/>
        </w:rPr>
      </w:pPr>
      <w:r w:rsidRPr="0097642C">
        <w:rPr>
          <w:rFonts w:cs="Times New Roman"/>
          <w:sz w:val="24"/>
          <w:szCs w:val="24"/>
        </w:rPr>
        <w:t>Top 5 companies for annual turnover in Waterloo:</w:t>
      </w:r>
    </w:p>
    <w:p w14:paraId="5A479834" w14:textId="77777777" w:rsidR="006A00CA" w:rsidRPr="0097642C" w:rsidRDefault="006A00CA" w:rsidP="00AF0324">
      <w:pPr>
        <w:rPr>
          <w:rFonts w:cs="Times New Roman"/>
          <w:sz w:val="24"/>
          <w:szCs w:val="24"/>
        </w:rPr>
      </w:pPr>
    </w:p>
    <w:tbl>
      <w:tblPr>
        <w:tblW w:w="9074" w:type="dxa"/>
        <w:tblLayout w:type="fixed"/>
        <w:tblLook w:val="04A0" w:firstRow="1" w:lastRow="0" w:firstColumn="1" w:lastColumn="0" w:noHBand="0" w:noVBand="1"/>
      </w:tblPr>
      <w:tblGrid>
        <w:gridCol w:w="4077"/>
        <w:gridCol w:w="2410"/>
        <w:gridCol w:w="2587"/>
      </w:tblGrid>
      <w:tr w:rsidR="00AF0324" w:rsidRPr="0097642C" w14:paraId="1E88EC24" w14:textId="77777777" w:rsidTr="006E07FA">
        <w:trPr>
          <w:trHeight w:val="314"/>
        </w:trPr>
        <w:tc>
          <w:tcPr>
            <w:tcW w:w="4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7C4847" w14:textId="77777777" w:rsidR="00AF0324" w:rsidRPr="00A550C3" w:rsidRDefault="00AF0324" w:rsidP="00880AAE">
            <w:pPr>
              <w:rPr>
                <w:rFonts w:eastAsia="Times New Roman" w:cs="Times New Roman"/>
                <w:b/>
                <w:color w:val="000000"/>
                <w:sz w:val="24"/>
                <w:szCs w:val="24"/>
                <w:lang w:eastAsia="en-GB"/>
              </w:rPr>
            </w:pPr>
            <w:r w:rsidRPr="00A550C3">
              <w:rPr>
                <w:rFonts w:eastAsia="Times New Roman" w:cs="Times New Roman"/>
                <w:b/>
                <w:color w:val="000000"/>
                <w:sz w:val="24"/>
                <w:szCs w:val="24"/>
                <w:lang w:eastAsia="en-GB"/>
              </w:rPr>
              <w:t>Company Name</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39ED95D3" w14:textId="77777777" w:rsidR="00AF0324" w:rsidRPr="00A550C3" w:rsidRDefault="00AF0324" w:rsidP="00880AAE">
            <w:pPr>
              <w:rPr>
                <w:rFonts w:eastAsia="Times New Roman" w:cs="Times New Roman"/>
                <w:b/>
                <w:color w:val="000000"/>
                <w:sz w:val="24"/>
                <w:szCs w:val="24"/>
                <w:lang w:eastAsia="en-GB"/>
              </w:rPr>
            </w:pPr>
            <w:r w:rsidRPr="00A550C3">
              <w:rPr>
                <w:rFonts w:eastAsia="Times New Roman" w:cs="Times New Roman"/>
                <w:b/>
                <w:color w:val="000000"/>
                <w:sz w:val="24"/>
                <w:szCs w:val="24"/>
                <w:lang w:eastAsia="en-GB"/>
              </w:rPr>
              <w:t>Annual Turnover</w:t>
            </w:r>
          </w:p>
        </w:tc>
        <w:tc>
          <w:tcPr>
            <w:tcW w:w="2587" w:type="dxa"/>
            <w:tcBorders>
              <w:top w:val="single" w:sz="4" w:space="0" w:color="auto"/>
              <w:left w:val="nil"/>
              <w:bottom w:val="single" w:sz="4" w:space="0" w:color="auto"/>
              <w:right w:val="single" w:sz="4" w:space="0" w:color="auto"/>
            </w:tcBorders>
            <w:shd w:val="clear" w:color="auto" w:fill="auto"/>
            <w:vAlign w:val="bottom"/>
            <w:hideMark/>
          </w:tcPr>
          <w:p w14:paraId="6A9984CF" w14:textId="77777777" w:rsidR="00AF0324" w:rsidRPr="00A550C3" w:rsidRDefault="00AF0324" w:rsidP="00880AAE">
            <w:pPr>
              <w:rPr>
                <w:rFonts w:eastAsia="Times New Roman" w:cs="Times New Roman"/>
                <w:b/>
                <w:color w:val="000000"/>
                <w:sz w:val="24"/>
                <w:szCs w:val="24"/>
                <w:lang w:eastAsia="en-GB"/>
              </w:rPr>
            </w:pPr>
            <w:r w:rsidRPr="00A550C3">
              <w:rPr>
                <w:rFonts w:eastAsia="Times New Roman" w:cs="Times New Roman"/>
                <w:b/>
                <w:color w:val="000000"/>
                <w:sz w:val="24"/>
                <w:szCs w:val="24"/>
                <w:lang w:eastAsia="en-GB"/>
              </w:rPr>
              <w:t>Annual Growth Rate</w:t>
            </w:r>
          </w:p>
        </w:tc>
      </w:tr>
      <w:tr w:rsidR="00AF0324" w:rsidRPr="0097642C" w14:paraId="1DAB747A" w14:textId="77777777" w:rsidTr="006E07FA">
        <w:trPr>
          <w:trHeight w:val="314"/>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05D7ECFC" w14:textId="5BBBCE59"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 xml:space="preserve">Royal Dutch Shell </w:t>
            </w:r>
            <w:r w:rsidR="00101A8E">
              <w:rPr>
                <w:rFonts w:eastAsia="Times New Roman" w:cs="Times New Roman"/>
                <w:color w:val="000000"/>
                <w:sz w:val="24"/>
                <w:szCs w:val="24"/>
                <w:lang w:eastAsia="en-GB"/>
              </w:rPr>
              <w:t>PLC</w:t>
            </w:r>
          </w:p>
        </w:tc>
        <w:tc>
          <w:tcPr>
            <w:tcW w:w="2410" w:type="dxa"/>
            <w:tcBorders>
              <w:top w:val="single" w:sz="4" w:space="0" w:color="auto"/>
              <w:left w:val="nil"/>
              <w:bottom w:val="single" w:sz="4" w:space="0" w:color="auto"/>
              <w:right w:val="single" w:sz="4" w:space="0" w:color="auto"/>
            </w:tcBorders>
            <w:shd w:val="clear" w:color="auto" w:fill="auto"/>
            <w:hideMark/>
          </w:tcPr>
          <w:p w14:paraId="47AB3319"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£183,000,000,000</w:t>
            </w:r>
          </w:p>
        </w:tc>
        <w:tc>
          <w:tcPr>
            <w:tcW w:w="2587" w:type="dxa"/>
            <w:tcBorders>
              <w:top w:val="single" w:sz="4" w:space="0" w:color="auto"/>
              <w:left w:val="nil"/>
              <w:bottom w:val="single" w:sz="4" w:space="0" w:color="auto"/>
              <w:right w:val="single" w:sz="4" w:space="0" w:color="auto"/>
            </w:tcBorders>
            <w:shd w:val="clear" w:color="auto" w:fill="auto"/>
            <w:hideMark/>
          </w:tcPr>
          <w:p w14:paraId="0DD41EBA"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-37.10%</w:t>
            </w:r>
          </w:p>
        </w:tc>
      </w:tr>
      <w:tr w:rsidR="00AF0324" w:rsidRPr="0097642C" w14:paraId="0A32A411" w14:textId="77777777" w:rsidTr="004E3AFE">
        <w:trPr>
          <w:trHeight w:val="314"/>
        </w:trPr>
        <w:tc>
          <w:tcPr>
            <w:tcW w:w="4077" w:type="dxa"/>
            <w:tcBorders>
              <w:top w:val="nil"/>
              <w:left w:val="single" w:sz="4" w:space="0" w:color="auto"/>
              <w:bottom w:val="single" w:sz="4" w:space="0" w:color="auto"/>
              <w:right w:val="single" w:sz="4" w:space="0" w:color="auto"/>
            </w:tcBorders>
            <w:shd w:val="clear" w:color="auto" w:fill="auto"/>
            <w:hideMark/>
          </w:tcPr>
          <w:p w14:paraId="55A03AEB"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Shell Trading International Limited</w:t>
            </w:r>
          </w:p>
        </w:tc>
        <w:tc>
          <w:tcPr>
            <w:tcW w:w="2410" w:type="dxa"/>
            <w:tcBorders>
              <w:top w:val="nil"/>
              <w:left w:val="nil"/>
              <w:bottom w:val="single" w:sz="4" w:space="0" w:color="auto"/>
              <w:right w:val="single" w:sz="4" w:space="0" w:color="auto"/>
            </w:tcBorders>
            <w:shd w:val="clear" w:color="auto" w:fill="auto"/>
            <w:hideMark/>
          </w:tcPr>
          <w:p w14:paraId="7F0137F6"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£47,113,500,415</w:t>
            </w:r>
          </w:p>
        </w:tc>
        <w:tc>
          <w:tcPr>
            <w:tcW w:w="2587" w:type="dxa"/>
            <w:tcBorders>
              <w:top w:val="nil"/>
              <w:left w:val="nil"/>
              <w:bottom w:val="single" w:sz="4" w:space="0" w:color="auto"/>
              <w:right w:val="single" w:sz="4" w:space="0" w:color="auto"/>
            </w:tcBorders>
            <w:shd w:val="clear" w:color="auto" w:fill="auto"/>
            <w:hideMark/>
          </w:tcPr>
          <w:p w14:paraId="6CCCDC77"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-42.70%</w:t>
            </w:r>
          </w:p>
        </w:tc>
      </w:tr>
      <w:tr w:rsidR="00AF0324" w:rsidRPr="0097642C" w14:paraId="09FA6AF4" w14:textId="77777777" w:rsidTr="004E3AFE">
        <w:trPr>
          <w:trHeight w:val="314"/>
        </w:trPr>
        <w:tc>
          <w:tcPr>
            <w:tcW w:w="4077" w:type="dxa"/>
            <w:tcBorders>
              <w:top w:val="nil"/>
              <w:left w:val="single" w:sz="4" w:space="0" w:color="auto"/>
              <w:bottom w:val="single" w:sz="4" w:space="0" w:color="auto"/>
              <w:right w:val="single" w:sz="4" w:space="0" w:color="auto"/>
            </w:tcBorders>
            <w:shd w:val="clear" w:color="auto" w:fill="auto"/>
            <w:hideMark/>
          </w:tcPr>
          <w:p w14:paraId="53CCC3C4" w14:textId="7DE04DBB" w:rsidR="00AF0324" w:rsidRPr="0097642C" w:rsidRDefault="00AF0324" w:rsidP="00E506DA">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B</w:t>
            </w:r>
            <w:r w:rsidR="00E506DA">
              <w:rPr>
                <w:rFonts w:eastAsia="Times New Roman" w:cs="Times New Roman"/>
                <w:color w:val="000000"/>
                <w:sz w:val="24"/>
                <w:szCs w:val="24"/>
                <w:lang w:eastAsia="en-GB"/>
              </w:rPr>
              <w:t>G</w:t>
            </w:r>
            <w:r w:rsidRPr="0097642C">
              <w:rPr>
                <w:rFonts w:eastAsia="Times New Roman" w:cs="Times New Roman"/>
                <w:color w:val="000000"/>
                <w:sz w:val="24"/>
                <w:szCs w:val="24"/>
                <w:lang w:eastAsia="en-GB"/>
              </w:rPr>
              <w:t xml:space="preserve"> Energy Holdings Limited</w:t>
            </w:r>
          </w:p>
        </w:tc>
        <w:tc>
          <w:tcPr>
            <w:tcW w:w="2410" w:type="dxa"/>
            <w:tcBorders>
              <w:top w:val="nil"/>
              <w:left w:val="nil"/>
              <w:bottom w:val="single" w:sz="4" w:space="0" w:color="auto"/>
              <w:right w:val="single" w:sz="4" w:space="0" w:color="auto"/>
            </w:tcBorders>
            <w:shd w:val="clear" w:color="auto" w:fill="auto"/>
            <w:hideMark/>
          </w:tcPr>
          <w:p w14:paraId="717F1AC1"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£11,941,137,322</w:t>
            </w:r>
          </w:p>
        </w:tc>
        <w:tc>
          <w:tcPr>
            <w:tcW w:w="2587" w:type="dxa"/>
            <w:tcBorders>
              <w:top w:val="nil"/>
              <w:left w:val="nil"/>
              <w:bottom w:val="single" w:sz="4" w:space="0" w:color="auto"/>
              <w:right w:val="single" w:sz="4" w:space="0" w:color="auto"/>
            </w:tcBorders>
            <w:shd w:val="clear" w:color="auto" w:fill="auto"/>
            <w:hideMark/>
          </w:tcPr>
          <w:p w14:paraId="3432552D"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-16.30%</w:t>
            </w:r>
          </w:p>
        </w:tc>
      </w:tr>
      <w:tr w:rsidR="00AF0324" w:rsidRPr="0097642C" w14:paraId="5F33B6C6" w14:textId="77777777" w:rsidTr="004E3AFE">
        <w:trPr>
          <w:trHeight w:val="314"/>
        </w:trPr>
        <w:tc>
          <w:tcPr>
            <w:tcW w:w="4077" w:type="dxa"/>
            <w:tcBorders>
              <w:top w:val="nil"/>
              <w:left w:val="single" w:sz="4" w:space="0" w:color="auto"/>
              <w:bottom w:val="single" w:sz="4" w:space="0" w:color="auto"/>
              <w:right w:val="single" w:sz="4" w:space="0" w:color="auto"/>
            </w:tcBorders>
            <w:shd w:val="clear" w:color="auto" w:fill="auto"/>
            <w:hideMark/>
          </w:tcPr>
          <w:p w14:paraId="66E5D0AE" w14:textId="71A489F1" w:rsidR="00AF0324" w:rsidRPr="0097642C" w:rsidRDefault="00AF0324" w:rsidP="00E506DA">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B</w:t>
            </w:r>
            <w:r w:rsidR="00E506DA">
              <w:rPr>
                <w:rFonts w:eastAsia="Times New Roman" w:cs="Times New Roman"/>
                <w:color w:val="000000"/>
                <w:sz w:val="24"/>
                <w:szCs w:val="24"/>
                <w:lang w:eastAsia="en-GB"/>
              </w:rPr>
              <w:t>G</w:t>
            </w:r>
            <w:r w:rsidRPr="0097642C">
              <w:rPr>
                <w:rFonts w:eastAsia="Times New Roman" w:cs="Times New Roman"/>
                <w:color w:val="000000"/>
                <w:sz w:val="24"/>
                <w:szCs w:val="24"/>
                <w:lang w:eastAsia="en-GB"/>
              </w:rPr>
              <w:t xml:space="preserve"> Global Energy Limited</w:t>
            </w:r>
          </w:p>
        </w:tc>
        <w:tc>
          <w:tcPr>
            <w:tcW w:w="2410" w:type="dxa"/>
            <w:tcBorders>
              <w:top w:val="nil"/>
              <w:left w:val="nil"/>
              <w:bottom w:val="single" w:sz="4" w:space="0" w:color="auto"/>
              <w:right w:val="single" w:sz="4" w:space="0" w:color="auto"/>
            </w:tcBorders>
            <w:shd w:val="clear" w:color="auto" w:fill="auto"/>
            <w:hideMark/>
          </w:tcPr>
          <w:p w14:paraId="19838C57"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£5,621,828,000</w:t>
            </w:r>
          </w:p>
        </w:tc>
        <w:tc>
          <w:tcPr>
            <w:tcW w:w="2587" w:type="dxa"/>
            <w:tcBorders>
              <w:top w:val="nil"/>
              <w:left w:val="nil"/>
              <w:bottom w:val="single" w:sz="4" w:space="0" w:color="auto"/>
              <w:right w:val="single" w:sz="4" w:space="0" w:color="auto"/>
            </w:tcBorders>
            <w:shd w:val="clear" w:color="auto" w:fill="auto"/>
            <w:hideMark/>
          </w:tcPr>
          <w:p w14:paraId="66AB9303"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404.20%</w:t>
            </w:r>
          </w:p>
        </w:tc>
      </w:tr>
      <w:tr w:rsidR="00AF0324" w:rsidRPr="0097642C" w14:paraId="678EEE06" w14:textId="77777777" w:rsidTr="004E3AFE">
        <w:trPr>
          <w:trHeight w:val="314"/>
        </w:trPr>
        <w:tc>
          <w:tcPr>
            <w:tcW w:w="4077" w:type="dxa"/>
            <w:tcBorders>
              <w:top w:val="nil"/>
              <w:left w:val="single" w:sz="4" w:space="0" w:color="auto"/>
              <w:bottom w:val="single" w:sz="4" w:space="0" w:color="auto"/>
              <w:right w:val="single" w:sz="4" w:space="0" w:color="auto"/>
            </w:tcBorders>
            <w:shd w:val="clear" w:color="auto" w:fill="auto"/>
            <w:hideMark/>
          </w:tcPr>
          <w:p w14:paraId="5DF7BE38"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Shell U.K. Limited</w:t>
            </w:r>
          </w:p>
        </w:tc>
        <w:tc>
          <w:tcPr>
            <w:tcW w:w="2410" w:type="dxa"/>
            <w:tcBorders>
              <w:top w:val="nil"/>
              <w:left w:val="nil"/>
              <w:bottom w:val="single" w:sz="4" w:space="0" w:color="auto"/>
              <w:right w:val="single" w:sz="4" w:space="0" w:color="auto"/>
            </w:tcBorders>
            <w:shd w:val="clear" w:color="auto" w:fill="auto"/>
            <w:hideMark/>
          </w:tcPr>
          <w:p w14:paraId="04494097"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£4,600,000,000</w:t>
            </w:r>
          </w:p>
        </w:tc>
        <w:tc>
          <w:tcPr>
            <w:tcW w:w="2587" w:type="dxa"/>
            <w:tcBorders>
              <w:top w:val="nil"/>
              <w:left w:val="nil"/>
              <w:bottom w:val="single" w:sz="4" w:space="0" w:color="auto"/>
              <w:right w:val="single" w:sz="4" w:space="0" w:color="auto"/>
            </w:tcBorders>
            <w:shd w:val="clear" w:color="auto" w:fill="auto"/>
            <w:hideMark/>
          </w:tcPr>
          <w:p w14:paraId="093F96F5"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-31.50%</w:t>
            </w:r>
          </w:p>
        </w:tc>
      </w:tr>
    </w:tbl>
    <w:p w14:paraId="2A12DF84" w14:textId="583EC96C" w:rsidR="00BE74EB" w:rsidRDefault="00BE74EB" w:rsidP="00AF0324">
      <w:pPr>
        <w:rPr>
          <w:rFonts w:cs="Times New Roman"/>
          <w:sz w:val="24"/>
          <w:szCs w:val="24"/>
        </w:rPr>
      </w:pPr>
    </w:p>
    <w:p w14:paraId="311597FB" w14:textId="77777777" w:rsidR="00BE74EB" w:rsidRDefault="00BE74EB" w:rsidP="00AF0324">
      <w:pPr>
        <w:rPr>
          <w:rFonts w:cs="Times New Roman"/>
          <w:sz w:val="24"/>
          <w:szCs w:val="24"/>
        </w:rPr>
      </w:pPr>
    </w:p>
    <w:p w14:paraId="61CB805B" w14:textId="77777777" w:rsidR="00AF0324" w:rsidRDefault="00AF0324" w:rsidP="00AF0324">
      <w:pPr>
        <w:rPr>
          <w:rFonts w:cs="Times New Roman"/>
          <w:sz w:val="24"/>
          <w:szCs w:val="24"/>
        </w:rPr>
      </w:pPr>
      <w:r w:rsidRPr="0097642C">
        <w:rPr>
          <w:rFonts w:cs="Times New Roman"/>
          <w:sz w:val="24"/>
          <w:szCs w:val="24"/>
        </w:rPr>
        <w:t>Top 5 companies for annual growth in Bayswater:</w:t>
      </w:r>
    </w:p>
    <w:p w14:paraId="07A6E713" w14:textId="77777777" w:rsidR="006A00CA" w:rsidRPr="0097642C" w:rsidRDefault="006A00CA" w:rsidP="00AF0324">
      <w:pPr>
        <w:rPr>
          <w:rFonts w:cs="Times New Roman"/>
          <w:sz w:val="24"/>
          <w:szCs w:val="24"/>
        </w:rPr>
      </w:pPr>
    </w:p>
    <w:tbl>
      <w:tblPr>
        <w:tblW w:w="9076" w:type="dxa"/>
        <w:tblLook w:val="04A0" w:firstRow="1" w:lastRow="0" w:firstColumn="1" w:lastColumn="0" w:noHBand="0" w:noVBand="1"/>
      </w:tblPr>
      <w:tblGrid>
        <w:gridCol w:w="4077"/>
        <w:gridCol w:w="2596"/>
        <w:gridCol w:w="2403"/>
      </w:tblGrid>
      <w:tr w:rsidR="00AF0324" w:rsidRPr="0097642C" w14:paraId="1C5CDB9E" w14:textId="77777777" w:rsidTr="006E07FA">
        <w:trPr>
          <w:trHeight w:val="289"/>
        </w:trPr>
        <w:tc>
          <w:tcPr>
            <w:tcW w:w="4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D343D8" w14:textId="77777777" w:rsidR="00AF0324" w:rsidRPr="00A550C3" w:rsidRDefault="00AF0324" w:rsidP="00880AAE">
            <w:pPr>
              <w:rPr>
                <w:rFonts w:eastAsia="Times New Roman" w:cs="Times New Roman"/>
                <w:b/>
                <w:color w:val="000000"/>
                <w:sz w:val="24"/>
                <w:szCs w:val="24"/>
                <w:lang w:eastAsia="en-GB"/>
              </w:rPr>
            </w:pPr>
            <w:r w:rsidRPr="00A550C3">
              <w:rPr>
                <w:rFonts w:eastAsia="Times New Roman" w:cs="Times New Roman"/>
                <w:b/>
                <w:color w:val="000000"/>
                <w:sz w:val="24"/>
                <w:szCs w:val="24"/>
                <w:lang w:eastAsia="en-GB"/>
              </w:rPr>
              <w:t>Company Name</w:t>
            </w:r>
          </w:p>
        </w:tc>
        <w:tc>
          <w:tcPr>
            <w:tcW w:w="2596" w:type="dxa"/>
            <w:tcBorders>
              <w:top w:val="single" w:sz="4" w:space="0" w:color="auto"/>
              <w:left w:val="nil"/>
              <w:bottom w:val="single" w:sz="4" w:space="0" w:color="auto"/>
              <w:right w:val="single" w:sz="4" w:space="0" w:color="auto"/>
            </w:tcBorders>
            <w:shd w:val="clear" w:color="auto" w:fill="auto"/>
            <w:vAlign w:val="bottom"/>
            <w:hideMark/>
          </w:tcPr>
          <w:p w14:paraId="48DE87F7" w14:textId="77777777" w:rsidR="00AF0324" w:rsidRPr="00A550C3" w:rsidRDefault="00AF0324" w:rsidP="00880AAE">
            <w:pPr>
              <w:rPr>
                <w:rFonts w:eastAsia="Times New Roman" w:cs="Times New Roman"/>
                <w:b/>
                <w:color w:val="000000"/>
                <w:sz w:val="24"/>
                <w:szCs w:val="24"/>
                <w:lang w:eastAsia="en-GB"/>
              </w:rPr>
            </w:pPr>
            <w:r w:rsidRPr="00A550C3">
              <w:rPr>
                <w:rFonts w:eastAsia="Times New Roman" w:cs="Times New Roman"/>
                <w:b/>
                <w:color w:val="000000"/>
                <w:sz w:val="24"/>
                <w:szCs w:val="24"/>
                <w:lang w:eastAsia="en-GB"/>
              </w:rPr>
              <w:t>Annual Growth Rate</w:t>
            </w:r>
          </w:p>
        </w:tc>
        <w:tc>
          <w:tcPr>
            <w:tcW w:w="2403" w:type="dxa"/>
            <w:tcBorders>
              <w:top w:val="single" w:sz="4" w:space="0" w:color="auto"/>
              <w:left w:val="nil"/>
              <w:bottom w:val="single" w:sz="4" w:space="0" w:color="auto"/>
              <w:right w:val="single" w:sz="4" w:space="0" w:color="auto"/>
            </w:tcBorders>
            <w:shd w:val="clear" w:color="auto" w:fill="auto"/>
            <w:vAlign w:val="bottom"/>
            <w:hideMark/>
          </w:tcPr>
          <w:p w14:paraId="1C12E80C" w14:textId="77777777" w:rsidR="00AF0324" w:rsidRPr="00A550C3" w:rsidRDefault="00AF0324" w:rsidP="00880AAE">
            <w:pPr>
              <w:rPr>
                <w:rFonts w:eastAsia="Times New Roman" w:cs="Times New Roman"/>
                <w:b/>
                <w:color w:val="000000"/>
                <w:sz w:val="24"/>
                <w:szCs w:val="24"/>
                <w:lang w:eastAsia="en-GB"/>
              </w:rPr>
            </w:pPr>
            <w:r w:rsidRPr="00A550C3">
              <w:rPr>
                <w:rFonts w:eastAsia="Times New Roman" w:cs="Times New Roman"/>
                <w:b/>
                <w:color w:val="000000"/>
                <w:sz w:val="24"/>
                <w:szCs w:val="24"/>
                <w:lang w:eastAsia="en-GB"/>
              </w:rPr>
              <w:t>Annual Turnover</w:t>
            </w:r>
          </w:p>
        </w:tc>
      </w:tr>
      <w:tr w:rsidR="00AF0324" w:rsidRPr="0097642C" w14:paraId="6818A7D2" w14:textId="77777777" w:rsidTr="00101A8E">
        <w:trPr>
          <w:trHeight w:val="289"/>
        </w:trPr>
        <w:tc>
          <w:tcPr>
            <w:tcW w:w="4077" w:type="dxa"/>
            <w:tcBorders>
              <w:top w:val="nil"/>
              <w:left w:val="single" w:sz="4" w:space="0" w:color="auto"/>
              <w:bottom w:val="single" w:sz="4" w:space="0" w:color="auto"/>
              <w:right w:val="single" w:sz="4" w:space="0" w:color="auto"/>
            </w:tcBorders>
            <w:shd w:val="clear" w:color="auto" w:fill="auto"/>
            <w:hideMark/>
          </w:tcPr>
          <w:p w14:paraId="31620C46" w14:textId="77777777" w:rsidR="00AF0324" w:rsidRPr="0097642C" w:rsidRDefault="00AF0324" w:rsidP="00880AAE">
            <w:pPr>
              <w:rPr>
                <w:rFonts w:eastAsia="Times New Roman" w:cs="Times New Roman"/>
                <w:color w:val="000000"/>
                <w:sz w:val="24"/>
                <w:szCs w:val="24"/>
                <w:lang w:eastAsia="en-GB"/>
              </w:rPr>
            </w:pPr>
            <w:proofErr w:type="spellStart"/>
            <w:r w:rsidRPr="0097642C">
              <w:rPr>
                <w:rFonts w:eastAsia="Times New Roman" w:cs="Times New Roman"/>
                <w:color w:val="000000"/>
                <w:sz w:val="24"/>
                <w:szCs w:val="24"/>
                <w:lang w:eastAsia="en-GB"/>
              </w:rPr>
              <w:t>Woodsford</w:t>
            </w:r>
            <w:proofErr w:type="spellEnd"/>
            <w:r w:rsidRPr="0097642C">
              <w:rPr>
                <w:rFonts w:eastAsia="Times New Roman" w:cs="Times New Roman"/>
                <w:color w:val="000000"/>
                <w:sz w:val="24"/>
                <w:szCs w:val="24"/>
                <w:lang w:eastAsia="en-GB"/>
              </w:rPr>
              <w:t xml:space="preserve"> Litigation Funding LTD</w:t>
            </w:r>
          </w:p>
        </w:tc>
        <w:tc>
          <w:tcPr>
            <w:tcW w:w="2596" w:type="dxa"/>
            <w:tcBorders>
              <w:top w:val="nil"/>
              <w:left w:val="nil"/>
              <w:bottom w:val="single" w:sz="4" w:space="0" w:color="auto"/>
              <w:right w:val="single" w:sz="4" w:space="0" w:color="auto"/>
            </w:tcBorders>
            <w:shd w:val="clear" w:color="auto" w:fill="auto"/>
            <w:hideMark/>
          </w:tcPr>
          <w:p w14:paraId="197DA509"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783.44%</w:t>
            </w:r>
          </w:p>
        </w:tc>
        <w:tc>
          <w:tcPr>
            <w:tcW w:w="2403" w:type="dxa"/>
            <w:tcBorders>
              <w:top w:val="nil"/>
              <w:left w:val="nil"/>
              <w:bottom w:val="single" w:sz="4" w:space="0" w:color="auto"/>
              <w:right w:val="single" w:sz="4" w:space="0" w:color="auto"/>
            </w:tcBorders>
            <w:shd w:val="clear" w:color="auto" w:fill="auto"/>
            <w:hideMark/>
          </w:tcPr>
          <w:p w14:paraId="04310850"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£7,147,000</w:t>
            </w:r>
          </w:p>
        </w:tc>
      </w:tr>
      <w:tr w:rsidR="00AF0324" w:rsidRPr="0097642C" w14:paraId="1033FCA4" w14:textId="77777777" w:rsidTr="00101A8E">
        <w:trPr>
          <w:trHeight w:val="289"/>
        </w:trPr>
        <w:tc>
          <w:tcPr>
            <w:tcW w:w="4077" w:type="dxa"/>
            <w:tcBorders>
              <w:top w:val="nil"/>
              <w:left w:val="single" w:sz="4" w:space="0" w:color="auto"/>
              <w:bottom w:val="single" w:sz="4" w:space="0" w:color="auto"/>
              <w:right w:val="single" w:sz="4" w:space="0" w:color="auto"/>
            </w:tcBorders>
            <w:shd w:val="clear" w:color="auto" w:fill="auto"/>
            <w:hideMark/>
          </w:tcPr>
          <w:p w14:paraId="14EB1D6D"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Paul Elliot LTD</w:t>
            </w:r>
          </w:p>
        </w:tc>
        <w:tc>
          <w:tcPr>
            <w:tcW w:w="2596" w:type="dxa"/>
            <w:tcBorders>
              <w:top w:val="nil"/>
              <w:left w:val="nil"/>
              <w:bottom w:val="single" w:sz="4" w:space="0" w:color="auto"/>
              <w:right w:val="single" w:sz="4" w:space="0" w:color="auto"/>
            </w:tcBorders>
            <w:shd w:val="clear" w:color="auto" w:fill="auto"/>
            <w:hideMark/>
          </w:tcPr>
          <w:p w14:paraId="1AD494EC"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184.00%</w:t>
            </w:r>
          </w:p>
        </w:tc>
        <w:tc>
          <w:tcPr>
            <w:tcW w:w="2403" w:type="dxa"/>
            <w:tcBorders>
              <w:top w:val="nil"/>
              <w:left w:val="nil"/>
              <w:bottom w:val="single" w:sz="4" w:space="0" w:color="auto"/>
              <w:right w:val="single" w:sz="4" w:space="0" w:color="auto"/>
            </w:tcBorders>
            <w:shd w:val="clear" w:color="auto" w:fill="auto"/>
            <w:hideMark/>
          </w:tcPr>
          <w:p w14:paraId="6861EFA8"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£6,044,268</w:t>
            </w:r>
          </w:p>
        </w:tc>
      </w:tr>
      <w:tr w:rsidR="00AF0324" w:rsidRPr="0097642C" w14:paraId="4E3841F8" w14:textId="77777777" w:rsidTr="00101A8E">
        <w:trPr>
          <w:trHeight w:val="289"/>
        </w:trPr>
        <w:tc>
          <w:tcPr>
            <w:tcW w:w="4077" w:type="dxa"/>
            <w:tcBorders>
              <w:top w:val="nil"/>
              <w:left w:val="single" w:sz="4" w:space="0" w:color="auto"/>
              <w:bottom w:val="single" w:sz="4" w:space="0" w:color="auto"/>
              <w:right w:val="single" w:sz="4" w:space="0" w:color="auto"/>
            </w:tcBorders>
            <w:shd w:val="clear" w:color="auto" w:fill="auto"/>
            <w:hideMark/>
          </w:tcPr>
          <w:p w14:paraId="356FD5AD"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Reward Gateway (UK) Ltd</w:t>
            </w:r>
          </w:p>
        </w:tc>
        <w:tc>
          <w:tcPr>
            <w:tcW w:w="2596" w:type="dxa"/>
            <w:tcBorders>
              <w:top w:val="nil"/>
              <w:left w:val="nil"/>
              <w:bottom w:val="single" w:sz="4" w:space="0" w:color="auto"/>
              <w:right w:val="single" w:sz="4" w:space="0" w:color="auto"/>
            </w:tcBorders>
            <w:shd w:val="clear" w:color="auto" w:fill="auto"/>
            <w:hideMark/>
          </w:tcPr>
          <w:p w14:paraId="1E652D3C"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18.12%</w:t>
            </w:r>
          </w:p>
        </w:tc>
        <w:tc>
          <w:tcPr>
            <w:tcW w:w="2403" w:type="dxa"/>
            <w:tcBorders>
              <w:top w:val="nil"/>
              <w:left w:val="nil"/>
              <w:bottom w:val="single" w:sz="4" w:space="0" w:color="auto"/>
              <w:right w:val="single" w:sz="4" w:space="0" w:color="auto"/>
            </w:tcBorders>
            <w:shd w:val="clear" w:color="auto" w:fill="auto"/>
            <w:hideMark/>
          </w:tcPr>
          <w:p w14:paraId="2A85130A"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£171,699,318</w:t>
            </w:r>
          </w:p>
        </w:tc>
      </w:tr>
      <w:tr w:rsidR="00AF0324" w:rsidRPr="0097642C" w14:paraId="466273DD" w14:textId="77777777" w:rsidTr="00101A8E">
        <w:trPr>
          <w:trHeight w:val="289"/>
        </w:trPr>
        <w:tc>
          <w:tcPr>
            <w:tcW w:w="4077" w:type="dxa"/>
            <w:tcBorders>
              <w:top w:val="nil"/>
              <w:left w:val="single" w:sz="4" w:space="0" w:color="auto"/>
              <w:bottom w:val="single" w:sz="4" w:space="0" w:color="auto"/>
              <w:right w:val="single" w:sz="4" w:space="0" w:color="auto"/>
            </w:tcBorders>
            <w:shd w:val="clear" w:color="auto" w:fill="auto"/>
            <w:hideMark/>
          </w:tcPr>
          <w:p w14:paraId="5F47B10A" w14:textId="77777777" w:rsidR="00AF0324" w:rsidRPr="0097642C" w:rsidRDefault="00AF0324" w:rsidP="00880AAE">
            <w:pPr>
              <w:rPr>
                <w:rFonts w:eastAsia="Times New Roman" w:cs="Times New Roman"/>
                <w:color w:val="000000"/>
                <w:sz w:val="24"/>
                <w:szCs w:val="24"/>
                <w:lang w:eastAsia="en-GB"/>
              </w:rPr>
            </w:pPr>
            <w:r w:rsidRPr="0097642C">
              <w:rPr>
                <w:rFonts w:eastAsia="Times New Roman" w:cs="Times New Roman"/>
                <w:color w:val="000000"/>
                <w:sz w:val="24"/>
                <w:szCs w:val="24"/>
                <w:lang w:eastAsia="en-GB"/>
              </w:rPr>
              <w:t>Planet Organic Limited</w:t>
            </w:r>
          </w:p>
        </w:tc>
        <w:tc>
          <w:tcPr>
            <w:tcW w:w="2596" w:type="dxa"/>
            <w:tcBorders>
              <w:top w:val="nil"/>
              <w:left w:val="nil"/>
              <w:bottom w:val="single" w:sz="4" w:space="0" w:color="auto"/>
              <w:right w:val="single" w:sz="4" w:space="0" w:color="auto"/>
            </w:tcBorders>
            <w:shd w:val="clear" w:color="auto" w:fill="auto"/>
            <w:hideMark/>
          </w:tcPr>
          <w:p w14:paraId="5C5FC6B1"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16.57%</w:t>
            </w:r>
          </w:p>
        </w:tc>
        <w:tc>
          <w:tcPr>
            <w:tcW w:w="2403" w:type="dxa"/>
            <w:tcBorders>
              <w:top w:val="nil"/>
              <w:left w:val="nil"/>
              <w:bottom w:val="single" w:sz="4" w:space="0" w:color="auto"/>
              <w:right w:val="single" w:sz="4" w:space="0" w:color="auto"/>
            </w:tcBorders>
            <w:shd w:val="clear" w:color="auto" w:fill="auto"/>
            <w:hideMark/>
          </w:tcPr>
          <w:p w14:paraId="61564A04"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£24,226,437</w:t>
            </w:r>
          </w:p>
        </w:tc>
      </w:tr>
      <w:tr w:rsidR="00AF0324" w:rsidRPr="0097642C" w14:paraId="0E245C7B" w14:textId="77777777" w:rsidTr="00101A8E">
        <w:trPr>
          <w:trHeight w:val="289"/>
        </w:trPr>
        <w:tc>
          <w:tcPr>
            <w:tcW w:w="4077" w:type="dxa"/>
            <w:tcBorders>
              <w:top w:val="nil"/>
              <w:left w:val="single" w:sz="4" w:space="0" w:color="auto"/>
              <w:bottom w:val="single" w:sz="4" w:space="0" w:color="auto"/>
              <w:right w:val="single" w:sz="4" w:space="0" w:color="auto"/>
            </w:tcBorders>
            <w:shd w:val="clear" w:color="auto" w:fill="auto"/>
            <w:hideMark/>
          </w:tcPr>
          <w:p w14:paraId="4A03BB27" w14:textId="77777777" w:rsidR="00AF0324" w:rsidRPr="0097642C" w:rsidRDefault="00AF0324" w:rsidP="00880AAE">
            <w:pPr>
              <w:rPr>
                <w:rFonts w:eastAsia="Times New Roman" w:cs="Times New Roman"/>
                <w:color w:val="000000"/>
                <w:sz w:val="24"/>
                <w:szCs w:val="24"/>
                <w:lang w:eastAsia="en-GB"/>
              </w:rPr>
            </w:pPr>
            <w:proofErr w:type="spellStart"/>
            <w:r w:rsidRPr="0097642C">
              <w:rPr>
                <w:rFonts w:eastAsia="Times New Roman" w:cs="Times New Roman"/>
                <w:color w:val="000000"/>
                <w:sz w:val="24"/>
                <w:szCs w:val="24"/>
                <w:lang w:eastAsia="en-GB"/>
              </w:rPr>
              <w:t>Kingsridge</w:t>
            </w:r>
            <w:proofErr w:type="spellEnd"/>
            <w:r w:rsidRPr="0097642C">
              <w:rPr>
                <w:rFonts w:eastAsia="Times New Roman" w:cs="Times New Roman"/>
                <w:color w:val="000000"/>
                <w:sz w:val="24"/>
                <w:szCs w:val="24"/>
                <w:lang w:eastAsia="en-GB"/>
              </w:rPr>
              <w:t xml:space="preserve"> Limited</w:t>
            </w:r>
          </w:p>
        </w:tc>
        <w:tc>
          <w:tcPr>
            <w:tcW w:w="2596" w:type="dxa"/>
            <w:tcBorders>
              <w:top w:val="nil"/>
              <w:left w:val="nil"/>
              <w:bottom w:val="single" w:sz="4" w:space="0" w:color="auto"/>
              <w:right w:val="single" w:sz="4" w:space="0" w:color="auto"/>
            </w:tcBorders>
            <w:shd w:val="clear" w:color="auto" w:fill="auto"/>
            <w:hideMark/>
          </w:tcPr>
          <w:p w14:paraId="0C2FA728"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8.97%</w:t>
            </w:r>
          </w:p>
        </w:tc>
        <w:tc>
          <w:tcPr>
            <w:tcW w:w="2403" w:type="dxa"/>
            <w:tcBorders>
              <w:top w:val="nil"/>
              <w:left w:val="nil"/>
              <w:bottom w:val="single" w:sz="4" w:space="0" w:color="auto"/>
              <w:right w:val="single" w:sz="4" w:space="0" w:color="auto"/>
            </w:tcBorders>
            <w:shd w:val="clear" w:color="auto" w:fill="auto"/>
            <w:hideMark/>
          </w:tcPr>
          <w:p w14:paraId="1B2C50CC" w14:textId="77777777" w:rsidR="00AF0324" w:rsidRPr="0097642C" w:rsidRDefault="00AF0324" w:rsidP="00880AAE">
            <w:pPr>
              <w:jc w:val="right"/>
              <w:rPr>
                <w:rFonts w:eastAsia="Times New Roman" w:cs="Times New Roman"/>
                <w:color w:val="000000"/>
                <w:sz w:val="24"/>
                <w:szCs w:val="24"/>
                <w:lang w:eastAsia="en-GB"/>
              </w:rPr>
            </w:pPr>
            <w:r w:rsidRPr="0097642C">
              <w:rPr>
                <w:rFonts w:eastAsia="Times New Roman" w:cs="Times New Roman"/>
                <w:color w:val="000000"/>
                <w:sz w:val="24"/>
                <w:szCs w:val="24"/>
                <w:lang w:eastAsia="en-GB"/>
              </w:rPr>
              <w:t>£10,333,020</w:t>
            </w:r>
          </w:p>
        </w:tc>
      </w:tr>
    </w:tbl>
    <w:p w14:paraId="23FCA145" w14:textId="77777777" w:rsidR="00AF0324" w:rsidRPr="0097642C" w:rsidRDefault="00AF0324" w:rsidP="00AF0324">
      <w:pPr>
        <w:rPr>
          <w:rFonts w:cs="Times New Roman"/>
          <w:b/>
          <w:sz w:val="24"/>
          <w:szCs w:val="24"/>
        </w:rPr>
      </w:pPr>
    </w:p>
    <w:p w14:paraId="24744789" w14:textId="77777777" w:rsidR="00BE74EB" w:rsidRDefault="00BE74EB" w:rsidP="00770D6C">
      <w:pPr>
        <w:pStyle w:val="NormalWeb"/>
        <w:spacing w:before="0" w:beforeAutospacing="0" w:after="0" w:afterAutospacing="0"/>
        <w:rPr>
          <w:rFonts w:ascii="Helvetica" w:hAnsi="Helvetica"/>
          <w:b/>
          <w:bCs/>
          <w:color w:val="000000"/>
          <w:sz w:val="24"/>
          <w:szCs w:val="24"/>
        </w:rPr>
      </w:pPr>
    </w:p>
    <w:p w14:paraId="60D734D1" w14:textId="77777777" w:rsidR="006E07FA" w:rsidRPr="0097642C" w:rsidRDefault="006E07FA" w:rsidP="006E07FA">
      <w:pPr>
        <w:pStyle w:val="NormalWeb"/>
        <w:spacing w:before="0" w:beforeAutospacing="0" w:after="0" w:afterAutospacing="0"/>
        <w:rPr>
          <w:rFonts w:ascii="Helvetica" w:hAnsi="Helvetica"/>
          <w:b/>
          <w:bCs/>
          <w:color w:val="000000"/>
          <w:sz w:val="24"/>
          <w:szCs w:val="24"/>
        </w:rPr>
      </w:pPr>
      <w:r w:rsidRPr="0097642C">
        <w:rPr>
          <w:rFonts w:ascii="Helvetica" w:hAnsi="Helvetica"/>
          <w:b/>
          <w:bCs/>
          <w:color w:val="000000"/>
          <w:sz w:val="24"/>
          <w:szCs w:val="24"/>
        </w:rPr>
        <w:t>About DueDil</w:t>
      </w:r>
    </w:p>
    <w:p w14:paraId="3B12214C" w14:textId="77777777" w:rsidR="006E07FA" w:rsidRPr="0097642C" w:rsidRDefault="006E07FA" w:rsidP="006E07FA">
      <w:pPr>
        <w:pStyle w:val="NormalWeb"/>
        <w:spacing w:before="0" w:beforeAutospacing="0" w:after="0" w:afterAutospacing="0"/>
        <w:rPr>
          <w:rFonts w:ascii="Helvetica" w:hAnsi="Helvetica"/>
          <w:sz w:val="24"/>
          <w:szCs w:val="24"/>
        </w:rPr>
      </w:pPr>
    </w:p>
    <w:p w14:paraId="4194459D" w14:textId="77777777" w:rsidR="006E07FA" w:rsidRPr="0097642C" w:rsidRDefault="006E07FA" w:rsidP="006E07FA">
      <w:pPr>
        <w:pStyle w:val="NormalWeb"/>
        <w:spacing w:before="0" w:beforeAutospacing="0" w:after="0" w:afterAutospacing="0"/>
        <w:rPr>
          <w:rFonts w:ascii="Helvetica" w:hAnsi="Helvetica"/>
          <w:color w:val="000000"/>
          <w:sz w:val="24"/>
          <w:szCs w:val="24"/>
        </w:rPr>
      </w:pPr>
      <w:r w:rsidRPr="0097642C">
        <w:rPr>
          <w:rFonts w:ascii="Helvetica" w:hAnsi="Helvetica"/>
          <w:color w:val="000000"/>
          <w:sz w:val="24"/>
          <w:szCs w:val="24"/>
        </w:rPr>
        <w:t>DueDil is about intelligence: for every team, in every company, in every industry, that does business with other businesses.</w:t>
      </w:r>
    </w:p>
    <w:p w14:paraId="703F6C2D" w14:textId="77777777" w:rsidR="006E07FA" w:rsidRPr="0097642C" w:rsidRDefault="006E07FA" w:rsidP="006E07FA">
      <w:pPr>
        <w:pStyle w:val="NormalWeb"/>
        <w:spacing w:before="0" w:beforeAutospacing="0" w:after="0" w:afterAutospacing="0"/>
        <w:rPr>
          <w:rFonts w:ascii="Helvetica" w:hAnsi="Helvetica"/>
          <w:sz w:val="24"/>
          <w:szCs w:val="24"/>
        </w:rPr>
      </w:pPr>
    </w:p>
    <w:p w14:paraId="4C25F9E0" w14:textId="77777777" w:rsidR="006E07FA" w:rsidRPr="0097642C" w:rsidRDefault="006E07FA" w:rsidP="006E07FA">
      <w:pPr>
        <w:pStyle w:val="NormalWeb"/>
        <w:spacing w:before="0" w:beforeAutospacing="0" w:after="0" w:afterAutospacing="0"/>
        <w:rPr>
          <w:rFonts w:ascii="Helvetica" w:hAnsi="Helvetica"/>
          <w:color w:val="000000"/>
          <w:sz w:val="24"/>
          <w:szCs w:val="24"/>
        </w:rPr>
      </w:pPr>
      <w:r w:rsidRPr="0097642C">
        <w:rPr>
          <w:rFonts w:ascii="Helvetica" w:hAnsi="Helvetica"/>
          <w:color w:val="000000"/>
          <w:sz w:val="24"/>
          <w:szCs w:val="24"/>
        </w:rPr>
        <w:t>DueDil helps solve the two biggest problems faced by companies – how to find new customers and avoid the risks associated with dealing with these businesses.</w:t>
      </w:r>
    </w:p>
    <w:p w14:paraId="67EFE635" w14:textId="77777777" w:rsidR="006E07FA" w:rsidRPr="0097642C" w:rsidRDefault="006E07FA" w:rsidP="006E07FA">
      <w:pPr>
        <w:pStyle w:val="NormalWeb"/>
        <w:spacing w:before="0" w:beforeAutospacing="0" w:after="0" w:afterAutospacing="0"/>
        <w:rPr>
          <w:rFonts w:ascii="Helvetica" w:hAnsi="Helvetica"/>
          <w:sz w:val="24"/>
          <w:szCs w:val="24"/>
        </w:rPr>
      </w:pPr>
    </w:p>
    <w:p w14:paraId="795F654E" w14:textId="77777777" w:rsidR="006E07FA" w:rsidRPr="0097642C" w:rsidRDefault="006E07FA" w:rsidP="006E07FA">
      <w:pPr>
        <w:pStyle w:val="NormalWeb"/>
        <w:spacing w:before="0" w:beforeAutospacing="0" w:after="0" w:afterAutospacing="0"/>
        <w:rPr>
          <w:rFonts w:ascii="Helvetica" w:hAnsi="Helvetica"/>
          <w:color w:val="000000"/>
          <w:sz w:val="24"/>
          <w:szCs w:val="24"/>
        </w:rPr>
      </w:pPr>
      <w:r w:rsidRPr="0097642C">
        <w:rPr>
          <w:rFonts w:ascii="Helvetica" w:hAnsi="Helvetica"/>
          <w:color w:val="000000"/>
          <w:sz w:val="24"/>
          <w:szCs w:val="24"/>
        </w:rPr>
        <w:t>We help teams to identify the right companies to sell to, get insights into their business, and make a sale. But that’s only one part of the equation: dealing with the wrong business can severely damage a company. We provide the intelligence to prevent this.</w:t>
      </w:r>
    </w:p>
    <w:p w14:paraId="5BBE4A4F" w14:textId="77777777" w:rsidR="006E07FA" w:rsidRPr="0097642C" w:rsidRDefault="006E07FA" w:rsidP="006E07FA">
      <w:pPr>
        <w:pStyle w:val="NormalWeb"/>
        <w:spacing w:before="0" w:beforeAutospacing="0" w:after="0" w:afterAutospacing="0"/>
        <w:rPr>
          <w:rFonts w:ascii="Helvetica" w:hAnsi="Helvetica"/>
          <w:sz w:val="24"/>
          <w:szCs w:val="24"/>
        </w:rPr>
      </w:pPr>
    </w:p>
    <w:p w14:paraId="2E35A4F9" w14:textId="77777777" w:rsidR="006E07FA" w:rsidRPr="0097642C" w:rsidRDefault="006E07FA" w:rsidP="006E07FA">
      <w:pPr>
        <w:pStyle w:val="NormalWeb"/>
        <w:spacing w:before="0" w:beforeAutospacing="0" w:after="0" w:afterAutospacing="0"/>
        <w:rPr>
          <w:rFonts w:ascii="Helvetica" w:hAnsi="Helvetica"/>
          <w:color w:val="000000"/>
          <w:sz w:val="24"/>
          <w:szCs w:val="24"/>
        </w:rPr>
      </w:pPr>
      <w:r w:rsidRPr="0097642C">
        <w:rPr>
          <w:rFonts w:ascii="Helvetica" w:hAnsi="Helvetica"/>
          <w:color w:val="000000"/>
          <w:sz w:val="24"/>
          <w:szCs w:val="24"/>
        </w:rPr>
        <w:t>At DueDil, we believe that one person’s risk is another’s opportunity and every team in every company should have the power to make intelligent decisions.</w:t>
      </w:r>
    </w:p>
    <w:p w14:paraId="5B06A9FD" w14:textId="77777777" w:rsidR="006E07FA" w:rsidRPr="0097642C" w:rsidRDefault="006E07FA" w:rsidP="006E07FA">
      <w:pPr>
        <w:pStyle w:val="NormalWeb"/>
        <w:spacing w:before="0" w:beforeAutospacing="0" w:after="0" w:afterAutospacing="0"/>
        <w:rPr>
          <w:rFonts w:ascii="Helvetica" w:hAnsi="Helvetica"/>
          <w:sz w:val="24"/>
          <w:szCs w:val="24"/>
        </w:rPr>
      </w:pPr>
    </w:p>
    <w:p w14:paraId="29B43E55" w14:textId="77777777" w:rsidR="006E07FA" w:rsidRPr="0097642C" w:rsidRDefault="006E07FA" w:rsidP="006E07FA">
      <w:pPr>
        <w:pStyle w:val="NormalWeb"/>
        <w:spacing w:before="0" w:beforeAutospacing="0" w:after="0" w:afterAutospacing="0"/>
        <w:rPr>
          <w:rFonts w:ascii="Helvetica" w:hAnsi="Helvetica"/>
          <w:sz w:val="24"/>
          <w:szCs w:val="24"/>
        </w:rPr>
      </w:pPr>
      <w:r w:rsidRPr="0097642C">
        <w:rPr>
          <w:rFonts w:ascii="Helvetica" w:hAnsi="Helvetica"/>
          <w:color w:val="000000"/>
          <w:sz w:val="24"/>
          <w:szCs w:val="24"/>
        </w:rPr>
        <w:lastRenderedPageBreak/>
        <w:t>Since 2011, the London-based financial technology company has raised nearly $30m from respected investors in the US and UK, including Oak Investment Partners, Passion Capital and Notion Capital.</w:t>
      </w:r>
    </w:p>
    <w:p w14:paraId="02C7FA2E" w14:textId="77777777" w:rsidR="006E07FA" w:rsidRPr="0097642C" w:rsidRDefault="006E07FA" w:rsidP="006E07FA">
      <w:pPr>
        <w:rPr>
          <w:rFonts w:eastAsia="Times New Roman" w:cs="Times New Roman"/>
          <w:sz w:val="24"/>
          <w:szCs w:val="24"/>
        </w:rPr>
      </w:pPr>
      <w:r w:rsidRPr="0097642C">
        <w:rPr>
          <w:rFonts w:eastAsia="Times New Roman" w:cs="Times New Roman"/>
          <w:sz w:val="24"/>
          <w:szCs w:val="24"/>
        </w:rPr>
        <w:br/>
      </w:r>
      <w:hyperlink r:id="rId10" w:history="1">
        <w:r w:rsidRPr="0097642C">
          <w:rPr>
            <w:rStyle w:val="Hyperlink"/>
            <w:rFonts w:eastAsia="Times New Roman" w:cs="Times New Roman"/>
            <w:color w:val="1155CC"/>
            <w:sz w:val="24"/>
            <w:szCs w:val="24"/>
          </w:rPr>
          <w:t>http://www.duedil.com</w:t>
        </w:r>
      </w:hyperlink>
    </w:p>
    <w:p w14:paraId="4CD56C22" w14:textId="77777777" w:rsidR="006E07FA" w:rsidRPr="0097642C" w:rsidRDefault="006E07FA" w:rsidP="006E07FA">
      <w:pPr>
        <w:rPr>
          <w:rFonts w:cs="Times New Roman"/>
          <w:b/>
          <w:sz w:val="24"/>
          <w:szCs w:val="24"/>
        </w:rPr>
      </w:pPr>
    </w:p>
    <w:p w14:paraId="32A241C0" w14:textId="77777777" w:rsidR="006E07FA" w:rsidRDefault="006E07FA" w:rsidP="006E07FA">
      <w:pPr>
        <w:rPr>
          <w:rFonts w:cs="Times New Roman"/>
          <w:b/>
          <w:sz w:val="24"/>
          <w:szCs w:val="24"/>
        </w:rPr>
      </w:pPr>
    </w:p>
    <w:p w14:paraId="15C134B9" w14:textId="77777777" w:rsidR="006E07FA" w:rsidRPr="0097642C" w:rsidRDefault="006E07FA" w:rsidP="006E07FA">
      <w:pPr>
        <w:rPr>
          <w:rFonts w:cs="Times New Roman"/>
          <w:b/>
          <w:sz w:val="24"/>
          <w:szCs w:val="24"/>
        </w:rPr>
      </w:pPr>
      <w:r w:rsidRPr="0097642C">
        <w:rPr>
          <w:rFonts w:cs="Times New Roman"/>
          <w:b/>
          <w:sz w:val="24"/>
          <w:szCs w:val="24"/>
        </w:rPr>
        <w:t>Contact details</w:t>
      </w:r>
    </w:p>
    <w:p w14:paraId="30106C1C" w14:textId="77777777" w:rsidR="006E07FA" w:rsidRPr="0097642C" w:rsidRDefault="006E07FA" w:rsidP="006E07FA">
      <w:pPr>
        <w:rPr>
          <w:rFonts w:cs="Times New Roman"/>
          <w:b/>
          <w:sz w:val="24"/>
          <w:szCs w:val="24"/>
        </w:rPr>
      </w:pPr>
    </w:p>
    <w:p w14:paraId="01102BEB" w14:textId="77777777" w:rsidR="006E07FA" w:rsidRDefault="006E07FA" w:rsidP="006E07FA">
      <w:pPr>
        <w:pStyle w:val="Normal1"/>
        <w:rPr>
          <w:rFonts w:ascii="Helvetica" w:eastAsia="Helvetica Neue" w:hAnsi="Helvetica" w:cs="Times New Roman"/>
          <w:sz w:val="24"/>
          <w:szCs w:val="24"/>
        </w:rPr>
      </w:pPr>
      <w:r>
        <w:rPr>
          <w:rFonts w:ascii="Helvetica" w:eastAsia="Helvetica Neue" w:hAnsi="Helvetica" w:cs="Times New Roman"/>
          <w:sz w:val="24"/>
          <w:szCs w:val="24"/>
        </w:rPr>
        <w:t>Amelia Henderson</w:t>
      </w:r>
    </w:p>
    <w:p w14:paraId="64717D42" w14:textId="77777777" w:rsidR="006E07FA" w:rsidRPr="0097642C" w:rsidRDefault="006E07FA" w:rsidP="006E07FA">
      <w:pPr>
        <w:pStyle w:val="Normal1"/>
        <w:rPr>
          <w:rFonts w:ascii="Helvetica" w:hAnsi="Helvetica" w:cs="Times New Roman"/>
          <w:sz w:val="24"/>
          <w:szCs w:val="24"/>
        </w:rPr>
      </w:pPr>
      <w:r>
        <w:rPr>
          <w:rFonts w:ascii="Helvetica" w:hAnsi="Helvetica" w:cs="Times New Roman"/>
          <w:sz w:val="24"/>
          <w:szCs w:val="24"/>
        </w:rPr>
        <w:t>DueDil</w:t>
      </w:r>
    </w:p>
    <w:p w14:paraId="70DF313B" w14:textId="77777777" w:rsidR="006E07FA" w:rsidRPr="00B7607B" w:rsidRDefault="00C344BA" w:rsidP="006E07FA">
      <w:pPr>
        <w:rPr>
          <w:rFonts w:eastAsia="Times New Roman" w:cstheme="minorHAnsi"/>
          <w:sz w:val="24"/>
          <w:szCs w:val="24"/>
          <w:lang w:eastAsia="en-GB"/>
        </w:rPr>
      </w:pPr>
      <w:hyperlink r:id="rId11" w:history="1">
        <w:r w:rsidR="006E07FA" w:rsidRPr="00605BAB">
          <w:rPr>
            <w:rStyle w:val="Hyperlink"/>
            <w:rFonts w:eastAsia="Times New Roman" w:cs="Times New Roman"/>
            <w:color w:val="1155CC"/>
            <w:sz w:val="24"/>
            <w:szCs w:val="24"/>
          </w:rPr>
          <w:t>amelia@duedil.com</w:t>
        </w:r>
      </w:hyperlink>
      <w:r w:rsidR="006E07FA">
        <w:rPr>
          <w:rFonts w:eastAsia="Helvetica Neue" w:cs="Times New Roman"/>
          <w:sz w:val="24"/>
          <w:szCs w:val="24"/>
        </w:rPr>
        <w:t xml:space="preserve">, </w:t>
      </w:r>
      <w:r w:rsidR="006E07FA" w:rsidRPr="00B7607B">
        <w:rPr>
          <w:rFonts w:eastAsia="Times New Roman" w:cstheme="minorHAnsi"/>
          <w:bCs/>
          <w:iCs/>
          <w:color w:val="000000"/>
          <w:sz w:val="24"/>
          <w:szCs w:val="24"/>
          <w:lang w:eastAsia="en-GB"/>
        </w:rPr>
        <w:t xml:space="preserve">(07) </w:t>
      </w:r>
      <w:r w:rsidR="006E07FA">
        <w:rPr>
          <w:rFonts w:eastAsia="Times New Roman" w:cstheme="minorHAnsi"/>
          <w:bCs/>
          <w:iCs/>
          <w:color w:val="000000"/>
          <w:sz w:val="24"/>
          <w:szCs w:val="24"/>
          <w:lang w:eastAsia="en-GB"/>
        </w:rPr>
        <w:t>8507 63009</w:t>
      </w:r>
    </w:p>
    <w:p w14:paraId="2C61C386" w14:textId="58ACC40B" w:rsidR="00EF16F0" w:rsidRDefault="00EF16F0" w:rsidP="00B817BD">
      <w:pPr>
        <w:pStyle w:val="Normal1"/>
        <w:rPr>
          <w:rFonts w:ascii="Helvetica" w:eastAsia="Times New Roman" w:hAnsi="Helvetica" w:cs="Times New Roman"/>
          <w:sz w:val="24"/>
          <w:szCs w:val="24"/>
        </w:rPr>
      </w:pPr>
    </w:p>
    <w:p w14:paraId="7D873C7C" w14:textId="10BA8736" w:rsidR="00FE5210" w:rsidRPr="0097642C" w:rsidRDefault="00FE5210" w:rsidP="00B817BD">
      <w:pPr>
        <w:pStyle w:val="Normal1"/>
        <w:rPr>
          <w:rFonts w:ascii="Helvetica" w:eastAsia="Times New Roman" w:hAnsi="Helvetica" w:cs="Times New Roman"/>
          <w:sz w:val="24"/>
          <w:szCs w:val="24"/>
        </w:rPr>
      </w:pPr>
    </w:p>
    <w:sectPr w:rsidR="00FE5210" w:rsidRPr="0097642C" w:rsidSect="00C344BA">
      <w:pgSz w:w="11900" w:h="16840"/>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3B3E"/>
    <w:multiLevelType w:val="hybridMultilevel"/>
    <w:tmpl w:val="12A0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96BFE"/>
    <w:multiLevelType w:val="hybridMultilevel"/>
    <w:tmpl w:val="3616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10211"/>
    <w:multiLevelType w:val="hybridMultilevel"/>
    <w:tmpl w:val="FAEE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E4FEB"/>
    <w:multiLevelType w:val="hybridMultilevel"/>
    <w:tmpl w:val="7FA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31ECA"/>
    <w:multiLevelType w:val="hybridMultilevel"/>
    <w:tmpl w:val="A2A0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81114"/>
    <w:multiLevelType w:val="hybridMultilevel"/>
    <w:tmpl w:val="DD98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5A"/>
    <w:rsid w:val="00014366"/>
    <w:rsid w:val="000155A8"/>
    <w:rsid w:val="00035357"/>
    <w:rsid w:val="00036323"/>
    <w:rsid w:val="00043C9B"/>
    <w:rsid w:val="00060057"/>
    <w:rsid w:val="00101A8E"/>
    <w:rsid w:val="00112DBF"/>
    <w:rsid w:val="001F725A"/>
    <w:rsid w:val="00223204"/>
    <w:rsid w:val="00231163"/>
    <w:rsid w:val="002468E3"/>
    <w:rsid w:val="002511F1"/>
    <w:rsid w:val="00280110"/>
    <w:rsid w:val="00292E1C"/>
    <w:rsid w:val="002A3AC9"/>
    <w:rsid w:val="00304BA3"/>
    <w:rsid w:val="0032574D"/>
    <w:rsid w:val="0032575C"/>
    <w:rsid w:val="00331B21"/>
    <w:rsid w:val="00335731"/>
    <w:rsid w:val="0034223B"/>
    <w:rsid w:val="003447C4"/>
    <w:rsid w:val="00356910"/>
    <w:rsid w:val="00387A7E"/>
    <w:rsid w:val="003B0DE0"/>
    <w:rsid w:val="003D34DB"/>
    <w:rsid w:val="004268A1"/>
    <w:rsid w:val="00477A48"/>
    <w:rsid w:val="0048719B"/>
    <w:rsid w:val="00487446"/>
    <w:rsid w:val="004970E4"/>
    <w:rsid w:val="004E3AFE"/>
    <w:rsid w:val="004F4151"/>
    <w:rsid w:val="0052636E"/>
    <w:rsid w:val="00526D07"/>
    <w:rsid w:val="005623F4"/>
    <w:rsid w:val="00585B12"/>
    <w:rsid w:val="005902DC"/>
    <w:rsid w:val="005A789B"/>
    <w:rsid w:val="00605BAB"/>
    <w:rsid w:val="00614016"/>
    <w:rsid w:val="006229F6"/>
    <w:rsid w:val="006519E9"/>
    <w:rsid w:val="006A00CA"/>
    <w:rsid w:val="006A3022"/>
    <w:rsid w:val="006A70F6"/>
    <w:rsid w:val="006E07FA"/>
    <w:rsid w:val="006F5FC7"/>
    <w:rsid w:val="00770D6C"/>
    <w:rsid w:val="0079400C"/>
    <w:rsid w:val="00796247"/>
    <w:rsid w:val="007E5E8E"/>
    <w:rsid w:val="007F5377"/>
    <w:rsid w:val="00844B43"/>
    <w:rsid w:val="00880AAE"/>
    <w:rsid w:val="0089146F"/>
    <w:rsid w:val="008C0C8E"/>
    <w:rsid w:val="008E2026"/>
    <w:rsid w:val="0092155D"/>
    <w:rsid w:val="00951000"/>
    <w:rsid w:val="00975354"/>
    <w:rsid w:val="0097642C"/>
    <w:rsid w:val="009870B2"/>
    <w:rsid w:val="009E5322"/>
    <w:rsid w:val="00A2710C"/>
    <w:rsid w:val="00A27447"/>
    <w:rsid w:val="00A30FFD"/>
    <w:rsid w:val="00A41FD4"/>
    <w:rsid w:val="00A550C3"/>
    <w:rsid w:val="00AE69B7"/>
    <w:rsid w:val="00AF0324"/>
    <w:rsid w:val="00B02AAB"/>
    <w:rsid w:val="00B76778"/>
    <w:rsid w:val="00B817BD"/>
    <w:rsid w:val="00B9622E"/>
    <w:rsid w:val="00BC18A8"/>
    <w:rsid w:val="00BC1E61"/>
    <w:rsid w:val="00BD6415"/>
    <w:rsid w:val="00BE74EB"/>
    <w:rsid w:val="00C344BA"/>
    <w:rsid w:val="00CA0A06"/>
    <w:rsid w:val="00CA760B"/>
    <w:rsid w:val="00CB2BB6"/>
    <w:rsid w:val="00D0702F"/>
    <w:rsid w:val="00D254C7"/>
    <w:rsid w:val="00DC3AA0"/>
    <w:rsid w:val="00DC78A9"/>
    <w:rsid w:val="00E20D66"/>
    <w:rsid w:val="00E35DBD"/>
    <w:rsid w:val="00E44B37"/>
    <w:rsid w:val="00E506DA"/>
    <w:rsid w:val="00E524F5"/>
    <w:rsid w:val="00E73C6B"/>
    <w:rsid w:val="00EE3DB9"/>
    <w:rsid w:val="00EF16F0"/>
    <w:rsid w:val="00FD3E82"/>
    <w:rsid w:val="00FE52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A4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5A"/>
    <w:pPr>
      <w:ind w:left="720"/>
      <w:contextualSpacing/>
    </w:pPr>
  </w:style>
  <w:style w:type="paragraph" w:styleId="BalloonText">
    <w:name w:val="Balloon Text"/>
    <w:basedOn w:val="Normal"/>
    <w:link w:val="BalloonTextChar"/>
    <w:uiPriority w:val="99"/>
    <w:semiHidden/>
    <w:unhideWhenUsed/>
    <w:rsid w:val="00280110"/>
    <w:rPr>
      <w:rFonts w:ascii="Lucida Grande" w:hAnsi="Lucida Grande"/>
      <w:sz w:val="18"/>
      <w:szCs w:val="18"/>
    </w:rPr>
  </w:style>
  <w:style w:type="character" w:customStyle="1" w:styleId="BalloonTextChar">
    <w:name w:val="Balloon Text Char"/>
    <w:basedOn w:val="DefaultParagraphFont"/>
    <w:link w:val="BalloonText"/>
    <w:uiPriority w:val="99"/>
    <w:semiHidden/>
    <w:rsid w:val="00280110"/>
    <w:rPr>
      <w:rFonts w:ascii="Lucida Grande" w:hAnsi="Lucida Grande"/>
      <w:sz w:val="18"/>
      <w:szCs w:val="18"/>
    </w:rPr>
  </w:style>
  <w:style w:type="paragraph" w:styleId="NormalWeb">
    <w:name w:val="Normal (Web)"/>
    <w:basedOn w:val="Normal"/>
    <w:uiPriority w:val="99"/>
    <w:semiHidden/>
    <w:unhideWhenUsed/>
    <w:rsid w:val="007F5377"/>
    <w:pPr>
      <w:spacing w:before="100" w:beforeAutospacing="1" w:after="100" w:afterAutospacing="1"/>
    </w:pPr>
    <w:rPr>
      <w:rFonts w:ascii="Times" w:hAnsi="Times" w:cs="Times New Roman"/>
    </w:rPr>
  </w:style>
  <w:style w:type="character" w:styleId="Hyperlink">
    <w:name w:val="Hyperlink"/>
    <w:basedOn w:val="DefaultParagraphFont"/>
    <w:uiPriority w:val="99"/>
    <w:unhideWhenUsed/>
    <w:rsid w:val="007F5377"/>
    <w:rPr>
      <w:color w:val="0000FF"/>
      <w:u w:val="single"/>
    </w:rPr>
  </w:style>
  <w:style w:type="paragraph" w:customStyle="1" w:styleId="Normal1">
    <w:name w:val="Normal1"/>
    <w:rsid w:val="00EF16F0"/>
    <w:pPr>
      <w:spacing w:line="276" w:lineRule="auto"/>
    </w:pPr>
    <w:rPr>
      <w:rFonts w:ascii="Arial" w:eastAsia="Arial" w:hAnsi="Arial" w:cs="Arial"/>
      <w:color w:val="000000"/>
      <w:sz w:val="22"/>
      <w:szCs w:val="22"/>
    </w:rPr>
  </w:style>
  <w:style w:type="character" w:styleId="FollowedHyperlink">
    <w:name w:val="FollowedHyperlink"/>
    <w:basedOn w:val="DefaultParagraphFont"/>
    <w:uiPriority w:val="99"/>
    <w:semiHidden/>
    <w:unhideWhenUsed/>
    <w:rsid w:val="00292E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5A"/>
    <w:pPr>
      <w:ind w:left="720"/>
      <w:contextualSpacing/>
    </w:pPr>
  </w:style>
  <w:style w:type="paragraph" w:styleId="BalloonText">
    <w:name w:val="Balloon Text"/>
    <w:basedOn w:val="Normal"/>
    <w:link w:val="BalloonTextChar"/>
    <w:uiPriority w:val="99"/>
    <w:semiHidden/>
    <w:unhideWhenUsed/>
    <w:rsid w:val="00280110"/>
    <w:rPr>
      <w:rFonts w:ascii="Lucida Grande" w:hAnsi="Lucida Grande"/>
      <w:sz w:val="18"/>
      <w:szCs w:val="18"/>
    </w:rPr>
  </w:style>
  <w:style w:type="character" w:customStyle="1" w:styleId="BalloonTextChar">
    <w:name w:val="Balloon Text Char"/>
    <w:basedOn w:val="DefaultParagraphFont"/>
    <w:link w:val="BalloonText"/>
    <w:uiPriority w:val="99"/>
    <w:semiHidden/>
    <w:rsid w:val="00280110"/>
    <w:rPr>
      <w:rFonts w:ascii="Lucida Grande" w:hAnsi="Lucida Grande"/>
      <w:sz w:val="18"/>
      <w:szCs w:val="18"/>
    </w:rPr>
  </w:style>
  <w:style w:type="paragraph" w:styleId="NormalWeb">
    <w:name w:val="Normal (Web)"/>
    <w:basedOn w:val="Normal"/>
    <w:uiPriority w:val="99"/>
    <w:semiHidden/>
    <w:unhideWhenUsed/>
    <w:rsid w:val="007F5377"/>
    <w:pPr>
      <w:spacing w:before="100" w:beforeAutospacing="1" w:after="100" w:afterAutospacing="1"/>
    </w:pPr>
    <w:rPr>
      <w:rFonts w:ascii="Times" w:hAnsi="Times" w:cs="Times New Roman"/>
    </w:rPr>
  </w:style>
  <w:style w:type="character" w:styleId="Hyperlink">
    <w:name w:val="Hyperlink"/>
    <w:basedOn w:val="DefaultParagraphFont"/>
    <w:uiPriority w:val="99"/>
    <w:unhideWhenUsed/>
    <w:rsid w:val="007F5377"/>
    <w:rPr>
      <w:color w:val="0000FF"/>
      <w:u w:val="single"/>
    </w:rPr>
  </w:style>
  <w:style w:type="paragraph" w:customStyle="1" w:styleId="Normal1">
    <w:name w:val="Normal1"/>
    <w:rsid w:val="00EF16F0"/>
    <w:pPr>
      <w:spacing w:line="276" w:lineRule="auto"/>
    </w:pPr>
    <w:rPr>
      <w:rFonts w:ascii="Arial" w:eastAsia="Arial" w:hAnsi="Arial" w:cs="Arial"/>
      <w:color w:val="000000"/>
      <w:sz w:val="22"/>
      <w:szCs w:val="22"/>
    </w:rPr>
  </w:style>
  <w:style w:type="character" w:styleId="FollowedHyperlink">
    <w:name w:val="FollowedHyperlink"/>
    <w:basedOn w:val="DefaultParagraphFont"/>
    <w:uiPriority w:val="99"/>
    <w:semiHidden/>
    <w:unhideWhenUsed/>
    <w:rsid w:val="00292E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3137">
      <w:bodyDiv w:val="1"/>
      <w:marLeft w:val="0"/>
      <w:marRight w:val="0"/>
      <w:marTop w:val="0"/>
      <w:marBottom w:val="0"/>
      <w:divBdr>
        <w:top w:val="none" w:sz="0" w:space="0" w:color="auto"/>
        <w:left w:val="none" w:sz="0" w:space="0" w:color="auto"/>
        <w:bottom w:val="none" w:sz="0" w:space="0" w:color="auto"/>
        <w:right w:val="none" w:sz="0" w:space="0" w:color="auto"/>
      </w:divBdr>
    </w:div>
    <w:div w:id="928654312">
      <w:bodyDiv w:val="1"/>
      <w:marLeft w:val="0"/>
      <w:marRight w:val="0"/>
      <w:marTop w:val="0"/>
      <w:marBottom w:val="0"/>
      <w:divBdr>
        <w:top w:val="none" w:sz="0" w:space="0" w:color="auto"/>
        <w:left w:val="none" w:sz="0" w:space="0" w:color="auto"/>
        <w:bottom w:val="none" w:sz="0" w:space="0" w:color="auto"/>
        <w:right w:val="none" w:sz="0" w:space="0" w:color="auto"/>
      </w:divBdr>
    </w:div>
    <w:div w:id="1061825848">
      <w:bodyDiv w:val="1"/>
      <w:marLeft w:val="0"/>
      <w:marRight w:val="0"/>
      <w:marTop w:val="0"/>
      <w:marBottom w:val="0"/>
      <w:divBdr>
        <w:top w:val="none" w:sz="0" w:space="0" w:color="auto"/>
        <w:left w:val="none" w:sz="0" w:space="0" w:color="auto"/>
        <w:bottom w:val="none" w:sz="0" w:space="0" w:color="auto"/>
        <w:right w:val="none" w:sz="0" w:space="0" w:color="auto"/>
      </w:divBdr>
    </w:div>
    <w:div w:id="1078745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melia@dued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www.dued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849</Words>
  <Characters>4843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DueDil</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Henderson</dc:creator>
  <cp:keywords/>
  <dc:description/>
  <cp:lastModifiedBy>Sam Hockley</cp:lastModifiedBy>
  <cp:revision>2</cp:revision>
  <dcterms:created xsi:type="dcterms:W3CDTF">2016-12-14T15:22:00Z</dcterms:created>
  <dcterms:modified xsi:type="dcterms:W3CDTF">2016-12-14T15:22:00Z</dcterms:modified>
</cp:coreProperties>
</file>