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12A6A" w14:textId="6B615F2D" w:rsidR="00D83D83" w:rsidRDefault="00D83D83">
      <w:pPr>
        <w:widowControl/>
        <w:bidi w:val="0"/>
        <w:jc w:val="left"/>
        <w:rPr>
          <w:rFonts w:asciiTheme="majorBidi" w:hAnsiTheme="majorBidi" w:cstheme="majorBidi"/>
          <w:szCs w:val="28"/>
          <w:rtl/>
          <w:lang w:val="en-GB" w:bidi="ar-JO"/>
        </w:rPr>
      </w:pPr>
      <w:r>
        <w:rPr>
          <w:noProof/>
        </w:rPr>
        <w:drawing>
          <wp:anchor distT="0" distB="0" distL="114300" distR="114300" simplePos="0" relativeHeight="251658240" behindDoc="0" locked="0" layoutInCell="1" allowOverlap="1" wp14:anchorId="23A0E689" wp14:editId="48C06932">
            <wp:simplePos x="0" y="0"/>
            <wp:positionH relativeFrom="column">
              <wp:posOffset>-914400</wp:posOffset>
            </wp:positionH>
            <wp:positionV relativeFrom="paragraph">
              <wp:posOffset>0</wp:posOffset>
            </wp:positionV>
            <wp:extent cx="7512050" cy="9737090"/>
            <wp:effectExtent l="0" t="0" r="0" b="0"/>
            <wp:wrapThrough wrapText="bothSides">
              <wp:wrapPolygon edited="0">
                <wp:start x="0" y="0"/>
                <wp:lineTo x="0" y="21552"/>
                <wp:lineTo x="21527" y="21552"/>
                <wp:lineTo x="21527" y="0"/>
                <wp:lineTo x="0" y="0"/>
              </wp:wrapPolygon>
            </wp:wrapThrough>
            <wp:docPr id="1039775583" name="Picture 1" descr="A white envelope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5583" name="Picture 1" descr="A white envelope with blue and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2050" cy="973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C02EC" w14:textId="77777777" w:rsidR="00D83D83" w:rsidRDefault="00D83D83" w:rsidP="00D83D83">
      <w:pPr>
        <w:bidi w:val="0"/>
        <w:rPr>
          <w:rFonts w:asciiTheme="majorBidi" w:hAnsiTheme="majorBidi" w:cstheme="majorBidi"/>
          <w:szCs w:val="28"/>
          <w:rtl/>
          <w:lang w:val="en-GB" w:bidi="ar-JO"/>
        </w:rPr>
      </w:pPr>
    </w:p>
    <w:p w14:paraId="14B8DDB9" w14:textId="118D2408" w:rsidR="00393EFE" w:rsidRPr="00B17FE3" w:rsidRDefault="00BA7E4C" w:rsidP="00D83D83">
      <w:pPr>
        <w:bidi w:val="0"/>
        <w:rPr>
          <w:rFonts w:asciiTheme="majorBidi" w:hAnsiTheme="majorBidi" w:cstheme="majorBidi"/>
          <w:szCs w:val="28"/>
          <w:rtl/>
          <w:lang w:val="en-GB" w:bidi="ar-JO"/>
        </w:rPr>
      </w:pPr>
      <w:r w:rsidRPr="00B17FE3">
        <w:rPr>
          <w:rFonts w:asciiTheme="majorBidi" w:hAnsiTheme="majorBidi" w:cstheme="majorBidi"/>
          <w:szCs w:val="28"/>
          <w:lang w:val="en-GB" w:bidi="ar-JO"/>
        </w:rPr>
        <w:t>Doha, 10 January 2024</w:t>
      </w:r>
    </w:p>
    <w:p w14:paraId="7A3D4E95" w14:textId="15FCE1B7" w:rsidR="006047F7" w:rsidRPr="00B17FE3" w:rsidRDefault="00BA7E4C" w:rsidP="006047F7">
      <w:pPr>
        <w:spacing w:line="360" w:lineRule="auto"/>
        <w:contextualSpacing/>
        <w:jc w:val="center"/>
        <w:rPr>
          <w:rFonts w:asciiTheme="majorBidi" w:hAnsiTheme="majorBidi" w:cstheme="majorBidi"/>
          <w:b/>
          <w:bCs/>
          <w:szCs w:val="28"/>
          <w:lang w:val="en-GB" w:bidi="ar-QA"/>
        </w:rPr>
      </w:pPr>
      <w:r w:rsidRPr="00B17FE3">
        <w:rPr>
          <w:rFonts w:asciiTheme="majorBidi" w:hAnsiTheme="majorBidi" w:cstheme="majorBidi"/>
          <w:b/>
          <w:bCs/>
          <w:szCs w:val="28"/>
          <w:lang w:val="en-GB" w:bidi="ar-QA"/>
        </w:rPr>
        <w:t xml:space="preserve">Arab Public Opinion </w:t>
      </w:r>
      <w:r w:rsidR="00363FDE" w:rsidRPr="00B17FE3">
        <w:rPr>
          <w:rFonts w:asciiTheme="majorBidi" w:hAnsiTheme="majorBidi" w:cstheme="majorBidi"/>
          <w:b/>
          <w:bCs/>
          <w:szCs w:val="28"/>
          <w:lang w:val="en-GB" w:bidi="ar-QA"/>
        </w:rPr>
        <w:t>about</w:t>
      </w:r>
      <w:r w:rsidRPr="00B17FE3">
        <w:rPr>
          <w:rFonts w:asciiTheme="majorBidi" w:hAnsiTheme="majorBidi" w:cstheme="majorBidi"/>
          <w:b/>
          <w:bCs/>
          <w:szCs w:val="28"/>
          <w:lang w:val="en-GB" w:bidi="ar-QA"/>
        </w:rPr>
        <w:t xml:space="preserve"> the</w:t>
      </w:r>
      <w:r w:rsidR="00F302D2">
        <w:rPr>
          <w:rFonts w:asciiTheme="majorBidi" w:hAnsiTheme="majorBidi" w:cstheme="majorBidi"/>
          <w:b/>
          <w:bCs/>
          <w:szCs w:val="28"/>
          <w:lang w:val="en-GB" w:bidi="ar-QA"/>
        </w:rPr>
        <w:t xml:space="preserve"> Israeli</w:t>
      </w:r>
      <w:r w:rsidRPr="00B17FE3">
        <w:rPr>
          <w:rFonts w:asciiTheme="majorBidi" w:hAnsiTheme="majorBidi" w:cstheme="majorBidi"/>
          <w:b/>
          <w:bCs/>
          <w:szCs w:val="28"/>
          <w:lang w:val="en-GB" w:bidi="ar-QA"/>
        </w:rPr>
        <w:t xml:space="preserve"> War on Gaza</w:t>
      </w:r>
    </w:p>
    <w:p w14:paraId="638DCC72" w14:textId="305AC55B" w:rsidR="00BA7E4C" w:rsidRPr="00B17FE3" w:rsidRDefault="00BA7E4C" w:rsidP="00A6719F">
      <w:pPr>
        <w:bidi w:val="0"/>
        <w:rPr>
          <w:rFonts w:asciiTheme="majorBidi" w:hAnsiTheme="majorBidi" w:cstheme="majorBidi"/>
          <w:color w:val="333333"/>
          <w:szCs w:val="28"/>
          <w:shd w:val="clear" w:color="auto" w:fill="FFFFFF"/>
          <w:lang w:val="en-GB"/>
        </w:rPr>
      </w:pPr>
      <w:r w:rsidRPr="00B17FE3">
        <w:rPr>
          <w:rFonts w:asciiTheme="majorBidi" w:hAnsiTheme="majorBidi" w:cstheme="majorBidi"/>
          <w:color w:val="333333"/>
          <w:szCs w:val="28"/>
          <w:shd w:val="clear" w:color="auto" w:fill="FFFFFF"/>
          <w:lang w:val="en-GB"/>
        </w:rPr>
        <w:t>The Arab Center for Research and Policy Studies announced the results of the public opinion poll regarding the Israeli war on Gaza on Wednesday 10 January 2024. The poll was carried out on a sample of 8000 respondents (men and women) from 16 Arab countries. The survey questions were selected to determine the opinions of citizens in the Arab region</w:t>
      </w:r>
      <w:r w:rsidR="007D5689">
        <w:rPr>
          <w:rFonts w:asciiTheme="majorBidi" w:hAnsiTheme="majorBidi" w:cstheme="majorBidi"/>
          <w:color w:val="333333"/>
          <w:szCs w:val="28"/>
          <w:shd w:val="clear" w:color="auto" w:fill="FFFFFF"/>
          <w:lang w:val="en-GB"/>
        </w:rPr>
        <w:t xml:space="preserve"> on</w:t>
      </w:r>
      <w:r w:rsidR="008E02C0" w:rsidRPr="00B17FE3">
        <w:rPr>
          <w:rFonts w:asciiTheme="majorBidi" w:hAnsiTheme="majorBidi" w:cstheme="majorBidi"/>
          <w:color w:val="333333"/>
          <w:szCs w:val="28"/>
          <w:shd w:val="clear" w:color="auto" w:fill="FFFFFF"/>
          <w:lang w:val="en-GB"/>
        </w:rPr>
        <w:t xml:space="preserve"> </w:t>
      </w:r>
      <w:r w:rsidRPr="00B17FE3">
        <w:rPr>
          <w:rFonts w:asciiTheme="majorBidi" w:hAnsiTheme="majorBidi" w:cstheme="majorBidi"/>
          <w:color w:val="333333"/>
          <w:szCs w:val="28"/>
          <w:shd w:val="clear" w:color="auto" w:fill="FFFFFF"/>
          <w:lang w:val="en-GB"/>
        </w:rPr>
        <w:t>important topics related to the Israeli war on Gaza.</w:t>
      </w:r>
    </w:p>
    <w:p w14:paraId="2D5CD70C" w14:textId="134775F4" w:rsidR="00BA7E4C" w:rsidRPr="00B17FE3" w:rsidRDefault="00BA7E4C" w:rsidP="00A6719F">
      <w:pPr>
        <w:bidi w:val="0"/>
        <w:spacing w:line="240" w:lineRule="auto"/>
        <w:rPr>
          <w:rFonts w:asciiTheme="majorBidi" w:hAnsiTheme="majorBidi" w:cstheme="majorBidi"/>
          <w:color w:val="333333"/>
          <w:szCs w:val="28"/>
          <w:shd w:val="clear" w:color="auto" w:fill="FFFFFF"/>
          <w:lang w:val="en-GB"/>
        </w:rPr>
      </w:pPr>
      <w:r w:rsidRPr="00B17FE3">
        <w:rPr>
          <w:rFonts w:asciiTheme="majorBidi" w:hAnsiTheme="majorBidi" w:cstheme="majorBidi"/>
          <w:color w:val="333333"/>
          <w:szCs w:val="28"/>
          <w:shd w:val="clear" w:color="auto" w:fill="FFFFFF"/>
          <w:lang w:val="en-GB"/>
        </w:rPr>
        <w:t xml:space="preserve">The results of the survey demonstrate the locality of the war as felt by </w:t>
      </w:r>
      <w:r w:rsidR="007C53E8" w:rsidRPr="00B17FE3">
        <w:rPr>
          <w:rFonts w:asciiTheme="majorBidi" w:hAnsiTheme="majorBidi" w:cstheme="majorBidi"/>
          <w:color w:val="333333"/>
          <w:szCs w:val="28"/>
          <w:shd w:val="clear" w:color="auto" w:fill="FFFFFF"/>
          <w:lang w:val="en-GB"/>
        </w:rPr>
        <w:t xml:space="preserve">Arab </w:t>
      </w:r>
      <w:r w:rsidRPr="00B17FE3">
        <w:rPr>
          <w:rFonts w:asciiTheme="majorBidi" w:hAnsiTheme="majorBidi" w:cstheme="majorBidi"/>
          <w:color w:val="333333"/>
          <w:szCs w:val="28"/>
          <w:shd w:val="clear" w:color="auto" w:fill="FFFFFF"/>
          <w:lang w:val="en-GB"/>
        </w:rPr>
        <w:t xml:space="preserve">public opinion, with 97% of respondents expressing psychological stress (to varying degrees) </w:t>
      </w:r>
      <w:proofErr w:type="gramStart"/>
      <w:r w:rsidRPr="00B17FE3">
        <w:rPr>
          <w:rFonts w:asciiTheme="majorBidi" w:hAnsiTheme="majorBidi" w:cstheme="majorBidi"/>
          <w:color w:val="333333"/>
          <w:szCs w:val="28"/>
          <w:shd w:val="clear" w:color="auto" w:fill="FFFFFF"/>
          <w:lang w:val="en-GB"/>
        </w:rPr>
        <w:t>as a result of</w:t>
      </w:r>
      <w:proofErr w:type="gramEnd"/>
      <w:r w:rsidRPr="00B17FE3">
        <w:rPr>
          <w:rFonts w:asciiTheme="majorBidi" w:hAnsiTheme="majorBidi" w:cstheme="majorBidi"/>
          <w:color w:val="333333"/>
          <w:szCs w:val="28"/>
          <w:shd w:val="clear" w:color="auto" w:fill="FFFFFF"/>
          <w:lang w:val="en-GB"/>
        </w:rPr>
        <w:t xml:space="preserve"> the war on Gaza. 8</w:t>
      </w:r>
      <w:r w:rsidR="007B07C0" w:rsidRPr="00B17FE3">
        <w:rPr>
          <w:rFonts w:asciiTheme="majorBidi" w:hAnsiTheme="majorBidi" w:cstheme="majorBidi"/>
          <w:color w:val="333333"/>
          <w:szCs w:val="28"/>
          <w:shd w:val="clear" w:color="auto" w:fill="FFFFFF"/>
          <w:lang w:val="en-GB"/>
        </w:rPr>
        <w:t>4</w:t>
      </w:r>
      <w:r w:rsidRPr="00B17FE3">
        <w:rPr>
          <w:rFonts w:asciiTheme="majorBidi" w:hAnsiTheme="majorBidi" w:cstheme="majorBidi"/>
          <w:color w:val="333333"/>
          <w:szCs w:val="28"/>
          <w:shd w:val="clear" w:color="auto" w:fill="FFFFFF"/>
          <w:lang w:val="en-GB"/>
        </w:rPr>
        <w:t>% expressed a sense of great psychological stress.</w:t>
      </w:r>
    </w:p>
    <w:p w14:paraId="356BEBB2" w14:textId="77777777" w:rsidR="00BA7E4C" w:rsidRPr="00B17FE3" w:rsidRDefault="00BA7E4C" w:rsidP="00BA7E4C">
      <w:pPr>
        <w:pStyle w:val="BodyText"/>
        <w:jc w:val="center"/>
        <w:rPr>
          <w:rFonts w:asciiTheme="majorBidi" w:hAnsiTheme="majorBidi" w:cstheme="majorBidi"/>
          <w:b/>
          <w:bCs/>
          <w:sz w:val="28"/>
          <w:szCs w:val="28"/>
          <w:rtl/>
        </w:rPr>
      </w:pPr>
      <w:r w:rsidRPr="00B17FE3">
        <w:rPr>
          <w:rFonts w:asciiTheme="majorBidi" w:hAnsiTheme="majorBidi" w:cstheme="majorBidi"/>
          <w:b/>
          <w:bCs/>
          <w:sz w:val="28"/>
          <w:szCs w:val="28"/>
        </w:rPr>
        <w:t xml:space="preserve">Extent of psychological stress felt during the war on </w:t>
      </w:r>
      <w:proofErr w:type="gramStart"/>
      <w:r w:rsidRPr="00B17FE3">
        <w:rPr>
          <w:rFonts w:asciiTheme="majorBidi" w:hAnsiTheme="majorBidi" w:cstheme="majorBidi"/>
          <w:b/>
          <w:bCs/>
          <w:sz w:val="28"/>
          <w:szCs w:val="28"/>
        </w:rPr>
        <w:t>Gaza</w:t>
      </w:r>
      <w:proofErr w:type="gramEnd"/>
    </w:p>
    <w:p w14:paraId="34503FA2" w14:textId="42BEFCD8" w:rsidR="00BA7E4C" w:rsidRPr="003666B8" w:rsidRDefault="007B07C0" w:rsidP="00B17FE3">
      <w:pPr>
        <w:jc w:val="center"/>
        <w:rPr>
          <w:rFonts w:ascii="Times New Roman" w:hAnsi="Times New Roman"/>
          <w:szCs w:val="28"/>
          <w:lang w:val="en-GB" w:bidi="ar-QA"/>
        </w:rPr>
      </w:pPr>
      <w:r>
        <w:rPr>
          <w:noProof/>
        </w:rPr>
        <w:drawing>
          <wp:inline distT="0" distB="0" distL="0" distR="0" wp14:anchorId="7EDA5A50" wp14:editId="2823FBB6">
            <wp:extent cx="5115707" cy="2300068"/>
            <wp:effectExtent l="0" t="0" r="8890" b="5080"/>
            <wp:docPr id="790885078" name="Chart 1">
              <a:extLst xmlns:a="http://schemas.openxmlformats.org/drawingml/2006/main">
                <a:ext uri="{FF2B5EF4-FFF2-40B4-BE49-F238E27FC236}">
                  <a16:creationId xmlns:a16="http://schemas.microsoft.com/office/drawing/2014/main" id="{BF48603E-19F4-99C7-D244-FA5BFE59C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A6D47A" w14:textId="1E31A503" w:rsidR="00BA7E4C" w:rsidRPr="003666B8" w:rsidRDefault="00BA7E4C" w:rsidP="00A6719F">
      <w:pPr>
        <w:bidi w:val="0"/>
        <w:contextualSpacing/>
        <w:rPr>
          <w:rFonts w:ascii="Times New Roman" w:hAnsi="Times New Roman"/>
          <w:szCs w:val="28"/>
          <w:lang w:val="en-GB" w:bidi="ar-QA"/>
        </w:rPr>
      </w:pPr>
      <w:r w:rsidRPr="003666B8">
        <w:rPr>
          <w:rFonts w:ascii="Times New Roman" w:hAnsi="Times New Roman"/>
          <w:szCs w:val="28"/>
          <w:lang w:val="en-GB" w:bidi="ar-QA"/>
        </w:rPr>
        <w:t xml:space="preserve">About 80% of respondents reported that they regularly follow news of the war, compared to 7% who said that they do not follow it, a further indication that the Arab public sees this war as a local event. </w:t>
      </w:r>
      <w:r w:rsidR="003666B8" w:rsidRPr="003666B8">
        <w:rPr>
          <w:rFonts w:ascii="Times New Roman" w:hAnsi="Times New Roman"/>
          <w:szCs w:val="28"/>
          <w:lang w:val="en-GB" w:bidi="ar-QA"/>
        </w:rPr>
        <w:t>To access the news 54% of respondents relied on television, compared to 43% who relied on the internet.</w:t>
      </w:r>
    </w:p>
    <w:p w14:paraId="5DE962C6" w14:textId="77777777" w:rsidR="003666B8" w:rsidRPr="003666B8" w:rsidRDefault="003666B8" w:rsidP="003666B8">
      <w:pPr>
        <w:bidi w:val="0"/>
        <w:spacing w:line="360" w:lineRule="auto"/>
        <w:contextualSpacing/>
        <w:rPr>
          <w:rFonts w:ascii="Times New Roman" w:hAnsi="Times New Roman"/>
          <w:szCs w:val="28"/>
          <w:lang w:val="en-GB" w:bidi="ar-QA"/>
        </w:rPr>
      </w:pPr>
    </w:p>
    <w:p w14:paraId="5C448E03" w14:textId="753A0B80" w:rsidR="00C15C3E" w:rsidRPr="003666B8" w:rsidRDefault="003666B8" w:rsidP="00C15C3E">
      <w:pPr>
        <w:spacing w:after="0"/>
        <w:jc w:val="center"/>
        <w:rPr>
          <w:rFonts w:ascii="Times New Roman" w:hAnsi="Times New Roman"/>
          <w:b/>
          <w:bCs/>
          <w:rtl/>
          <w:lang w:val="en-GB" w:bidi="ar-QA"/>
        </w:rPr>
      </w:pPr>
      <w:r w:rsidRPr="00B17FE3">
        <w:rPr>
          <w:rFonts w:asciiTheme="majorBidi" w:hAnsiTheme="majorBidi" w:cstheme="majorBidi"/>
          <w:b/>
          <w:bCs/>
          <w:szCs w:val="28"/>
          <w:lang w:val="en-GB"/>
        </w:rPr>
        <w:t>Extent of news followship about Israel’s war on Gaza</w:t>
      </w:r>
      <w:r w:rsidRPr="00B17FE3">
        <w:rPr>
          <w:rFonts w:asciiTheme="majorBidi" w:hAnsiTheme="majorBidi" w:cstheme="majorBidi"/>
          <w:noProof/>
          <w:lang w:val="en-GB"/>
        </w:rPr>
        <w:t xml:space="preserve"> </w:t>
      </w:r>
      <w:r w:rsidRPr="003666B8">
        <w:rPr>
          <w:rFonts w:asciiTheme="minorHAnsi" w:hAnsiTheme="minorHAnsi" w:cstheme="minorHAnsi"/>
          <w:noProof/>
          <w:lang w:val="en-GB"/>
        </w:rPr>
        <w:lastRenderedPageBreak/>
        <w:drawing>
          <wp:inline distT="0" distB="0" distL="0" distR="0" wp14:anchorId="5558863A" wp14:editId="4A8688E6">
            <wp:extent cx="4972929" cy="2757268"/>
            <wp:effectExtent l="0" t="0" r="0" b="5080"/>
            <wp:docPr id="1628738758" name="Chart 1">
              <a:extLst xmlns:a="http://schemas.openxmlformats.org/drawingml/2006/main">
                <a:ext uri="{FF2B5EF4-FFF2-40B4-BE49-F238E27FC236}">
                  <a16:creationId xmlns:a16="http://schemas.microsoft.com/office/drawing/2014/main" id="{CC404DF3-6F58-3549-711A-1E8691839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EF0C67" w14:textId="77777777" w:rsidR="003666B8" w:rsidRDefault="003666B8" w:rsidP="003666B8">
      <w:pPr>
        <w:bidi w:val="0"/>
        <w:spacing w:line="360" w:lineRule="auto"/>
        <w:contextualSpacing/>
        <w:rPr>
          <w:rFonts w:ascii="Times New Roman" w:hAnsi="Times New Roman"/>
          <w:szCs w:val="28"/>
          <w:lang w:val="en-GB" w:bidi="ar-QA"/>
        </w:rPr>
      </w:pPr>
    </w:p>
    <w:p w14:paraId="75AD77A5" w14:textId="261B32CA" w:rsidR="003666B8" w:rsidRDefault="003666B8" w:rsidP="00A6719F">
      <w:pPr>
        <w:bidi w:val="0"/>
        <w:contextualSpacing/>
        <w:rPr>
          <w:rFonts w:asciiTheme="majorBidi" w:hAnsiTheme="majorBidi" w:cstheme="majorBidi"/>
          <w:szCs w:val="28"/>
          <w:lang w:val="en-GB" w:bidi="ar-QA"/>
        </w:rPr>
      </w:pPr>
      <w:r w:rsidRPr="00B17FE3">
        <w:rPr>
          <w:rFonts w:asciiTheme="majorBidi" w:hAnsiTheme="majorBidi" w:cstheme="majorBidi"/>
          <w:szCs w:val="28"/>
          <w:lang w:val="en-GB" w:bidi="ar-QA"/>
        </w:rPr>
        <w:t>It is noteworthy that the results highlighted that Arab public opinion does not believe that the military operation carried out by Hamas on 7 October 2023 was in pursuit of a foreign agenda. 35% of respondents considered that the most important reason for the operation was the continued Israeli occupation of the Palestinian territories, while 24% attributed it mostly to defence against Israel</w:t>
      </w:r>
      <w:r w:rsidR="007E0901" w:rsidRPr="00B17FE3">
        <w:rPr>
          <w:rFonts w:asciiTheme="majorBidi" w:hAnsiTheme="majorBidi" w:cstheme="majorBidi"/>
          <w:szCs w:val="28"/>
          <w:lang w:val="en-GB" w:bidi="ar-QA"/>
        </w:rPr>
        <w:t>’s</w:t>
      </w:r>
      <w:r w:rsidRPr="00B17FE3">
        <w:rPr>
          <w:rFonts w:asciiTheme="majorBidi" w:hAnsiTheme="majorBidi" w:cstheme="majorBidi"/>
          <w:szCs w:val="28"/>
          <w:lang w:val="en-GB" w:bidi="ar-QA"/>
        </w:rPr>
        <w:t xml:space="preserve"> targeting of Al-Aqsa Mosque, and 8% saw it </w:t>
      </w:r>
      <w:proofErr w:type="gramStart"/>
      <w:r w:rsidRPr="00B17FE3">
        <w:rPr>
          <w:rFonts w:asciiTheme="majorBidi" w:hAnsiTheme="majorBidi" w:cstheme="majorBidi"/>
          <w:szCs w:val="28"/>
          <w:lang w:val="en-GB" w:bidi="ar-QA"/>
        </w:rPr>
        <w:t>as a result of</w:t>
      </w:r>
      <w:proofErr w:type="gramEnd"/>
      <w:r w:rsidRPr="00B17FE3">
        <w:rPr>
          <w:rFonts w:asciiTheme="majorBidi" w:hAnsiTheme="majorBidi" w:cstheme="majorBidi"/>
          <w:szCs w:val="28"/>
          <w:lang w:val="en-GB" w:bidi="ar-QA"/>
        </w:rPr>
        <w:t xml:space="preserve"> the </w:t>
      </w:r>
      <w:r w:rsidR="001B308B" w:rsidRPr="00B17FE3">
        <w:rPr>
          <w:rFonts w:asciiTheme="majorBidi" w:hAnsiTheme="majorBidi" w:cstheme="majorBidi"/>
          <w:szCs w:val="28"/>
          <w:lang w:val="en-GB" w:bidi="ar-QA"/>
        </w:rPr>
        <w:t xml:space="preserve">ongoing </w:t>
      </w:r>
      <w:r w:rsidRPr="00B17FE3">
        <w:rPr>
          <w:rFonts w:asciiTheme="majorBidi" w:hAnsiTheme="majorBidi" w:cstheme="majorBidi"/>
          <w:szCs w:val="28"/>
          <w:lang w:val="en-GB" w:bidi="ar-QA"/>
        </w:rPr>
        <w:t>siege of the Gaza Strip</w:t>
      </w:r>
      <w:r w:rsidRPr="00B17FE3">
        <w:rPr>
          <w:rFonts w:asciiTheme="majorBidi" w:hAnsiTheme="majorBidi" w:cstheme="majorBidi"/>
          <w:szCs w:val="28"/>
          <w:rtl/>
          <w:lang w:val="en-GB" w:bidi="ar-QA"/>
        </w:rPr>
        <w:t>.</w:t>
      </w:r>
    </w:p>
    <w:p w14:paraId="1E16CDE6" w14:textId="6766BACA" w:rsidR="00CC79B0" w:rsidRDefault="003666B8" w:rsidP="003666B8">
      <w:pPr>
        <w:pStyle w:val="Caption"/>
        <w:spacing w:line="276" w:lineRule="auto"/>
        <w:rPr>
          <w:rFonts w:asciiTheme="majorBidi" w:hAnsiTheme="majorBidi" w:cstheme="majorBidi"/>
          <w:sz w:val="28"/>
          <w:szCs w:val="28"/>
          <w:lang w:val="en-GB"/>
        </w:rPr>
      </w:pPr>
      <w:r w:rsidRPr="00B17FE3">
        <w:rPr>
          <w:rFonts w:asciiTheme="majorBidi" w:hAnsiTheme="majorBidi" w:cstheme="majorBidi"/>
          <w:sz w:val="28"/>
          <w:szCs w:val="28"/>
          <w:lang w:val="en-GB"/>
        </w:rPr>
        <w:t>The most important motivations for Hamas to carry out the military operation on 7 October 2023</w:t>
      </w:r>
    </w:p>
    <w:tbl>
      <w:tblPr>
        <w:tblpPr w:leftFromText="180" w:rightFromText="180" w:vertAnchor="text" w:tblpXSpec="center" w:tblpY="1"/>
        <w:tblOverlap w:val="never"/>
        <w:tblW w:w="9983" w:type="dxa"/>
        <w:tblLook w:val="04A0" w:firstRow="1" w:lastRow="0" w:firstColumn="1" w:lastColumn="0" w:noHBand="0" w:noVBand="1"/>
      </w:tblPr>
      <w:tblGrid>
        <w:gridCol w:w="7605"/>
        <w:gridCol w:w="1189"/>
        <w:gridCol w:w="1189"/>
      </w:tblGrid>
      <w:tr w:rsidR="00A6719F" w:rsidRPr="005764E8" w14:paraId="4490D239" w14:textId="77777777" w:rsidTr="00BC0EA7">
        <w:trPr>
          <w:trHeight w:val="306"/>
        </w:trPr>
        <w:tc>
          <w:tcPr>
            <w:tcW w:w="7605" w:type="dxa"/>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021BC3E1"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lang w:val="en-GB"/>
              </w:rPr>
            </w:pPr>
            <w:r w:rsidRPr="00514B50">
              <w:rPr>
                <w:rFonts w:asciiTheme="minorHAnsi" w:eastAsia="Times New Roman" w:hAnsiTheme="minorHAnsi" w:cstheme="minorHAnsi"/>
                <w:color w:val="000000"/>
                <w:lang w:val="en-GB"/>
              </w:rPr>
              <w:t> </w:t>
            </w:r>
          </w:p>
        </w:tc>
        <w:tc>
          <w:tcPr>
            <w:tcW w:w="1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3631A7" w14:textId="77777777" w:rsidR="00A6719F" w:rsidRPr="00B17FE3"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B17FE3">
              <w:rPr>
                <w:rFonts w:asciiTheme="minorHAnsi" w:eastAsia="Times New Roman" w:hAnsiTheme="minorHAnsi" w:cstheme="minorHAnsi"/>
                <w:color w:val="000000"/>
                <w:sz w:val="18"/>
                <w:szCs w:val="18"/>
                <w:lang w:val="en-GB"/>
              </w:rPr>
              <w:t>Most important</w:t>
            </w:r>
          </w:p>
        </w:tc>
        <w:tc>
          <w:tcPr>
            <w:tcW w:w="1189" w:type="dxa"/>
            <w:tcBorders>
              <w:top w:val="single" w:sz="4" w:space="0" w:color="auto"/>
              <w:left w:val="single" w:sz="4" w:space="0" w:color="auto"/>
              <w:bottom w:val="single" w:sz="4" w:space="0" w:color="auto"/>
            </w:tcBorders>
            <w:shd w:val="clear" w:color="auto" w:fill="F2F2F2" w:themeFill="background1" w:themeFillShade="F2"/>
            <w:noWrap/>
            <w:vAlign w:val="center"/>
            <w:hideMark/>
          </w:tcPr>
          <w:p w14:paraId="001BC63D" w14:textId="77777777" w:rsidR="00A6719F" w:rsidRPr="00B17FE3"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B17FE3">
              <w:rPr>
                <w:rFonts w:asciiTheme="minorHAnsi" w:eastAsia="Times New Roman" w:hAnsiTheme="minorHAnsi" w:cstheme="minorHAnsi"/>
                <w:color w:val="000000"/>
                <w:sz w:val="18"/>
                <w:szCs w:val="18"/>
                <w:lang w:val="en-GB"/>
              </w:rPr>
              <w:t>Second most important</w:t>
            </w:r>
          </w:p>
        </w:tc>
      </w:tr>
      <w:tr w:rsidR="00A6719F" w:rsidRPr="005764E8" w14:paraId="364715C6"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02DDBA2A"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The ongoing Israeli occupation of Palestinian land</w:t>
            </w:r>
            <w:r w:rsidRPr="00514B50">
              <w:rPr>
                <w:rFonts w:asciiTheme="minorHAnsi" w:eastAsia="Times New Roman" w:hAnsiTheme="minorHAnsi" w:cstheme="minorHAnsi"/>
                <w:color w:val="000000"/>
                <w:sz w:val="18"/>
                <w:szCs w:val="18"/>
                <w:rtl/>
                <w:lang w:val="en-GB"/>
              </w:rPr>
              <w:t xml:space="preserve">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9CE0"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35</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7CFDF904"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13</w:t>
            </w:r>
          </w:p>
        </w:tc>
      </w:tr>
      <w:tr w:rsidR="00A6719F" w:rsidRPr="005764E8" w14:paraId="6C856A50"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601B2891"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Defending al-Aqsa Mosque against attacks</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2223"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24</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735A5BEC"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21</w:t>
            </w:r>
          </w:p>
        </w:tc>
      </w:tr>
      <w:tr w:rsidR="00A6719F" w:rsidRPr="005764E8" w14:paraId="045FC6C4"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554C6963"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The ongoing blockade of Gaza</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CB36"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8</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4847C510"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12</w:t>
            </w:r>
          </w:p>
        </w:tc>
      </w:tr>
      <w:tr w:rsidR="00A6719F" w:rsidRPr="005764E8" w14:paraId="64F1CB54"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6958F969"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Ongoing and expanding settlement on Palestinian land</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116E"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6</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615A6C18"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8</w:t>
            </w:r>
          </w:p>
        </w:tc>
      </w:tr>
      <w:tr w:rsidR="00A6719F" w:rsidRPr="005764E8" w14:paraId="39826824"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2B1243F6"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Liberating Palestinian detainees and prisoners in Israeli</w:t>
            </w:r>
            <w:r w:rsidRPr="00514B50">
              <w:rPr>
                <w:rFonts w:asciiTheme="minorHAnsi" w:eastAsia="Times New Roman" w:hAnsiTheme="minorHAnsi" w:cstheme="minorHAnsi"/>
                <w:color w:val="000000"/>
                <w:sz w:val="18"/>
                <w:szCs w:val="18"/>
                <w:rtl/>
                <w:lang w:val="en-GB"/>
              </w:rPr>
              <w:t xml:space="preserve"> </w:t>
            </w:r>
            <w:r w:rsidRPr="00514B50">
              <w:rPr>
                <w:rFonts w:asciiTheme="minorHAnsi" w:eastAsia="Times New Roman" w:hAnsiTheme="minorHAnsi" w:cstheme="minorHAnsi"/>
                <w:color w:val="000000"/>
                <w:sz w:val="18"/>
                <w:szCs w:val="18"/>
                <w:lang w:val="en-GB"/>
              </w:rPr>
              <w:t>prisons</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6042A"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6</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259AAA42"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13</w:t>
            </w:r>
          </w:p>
        </w:tc>
      </w:tr>
      <w:tr w:rsidR="00A6719F" w:rsidRPr="005764E8" w14:paraId="6161E6B9"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5AE1EF77"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Israel’s rejection of the establishment of a Palestinian</w:t>
            </w:r>
            <w:r w:rsidRPr="00514B50">
              <w:rPr>
                <w:rFonts w:asciiTheme="minorHAnsi" w:eastAsia="Times New Roman" w:hAnsiTheme="minorHAnsi" w:cstheme="minorHAnsi"/>
                <w:color w:val="000000"/>
                <w:sz w:val="18"/>
                <w:szCs w:val="18"/>
                <w:rtl/>
                <w:lang w:val="en-GB"/>
              </w:rPr>
              <w:t xml:space="preserve"> </w:t>
            </w:r>
            <w:r w:rsidRPr="00514B50">
              <w:rPr>
                <w:rFonts w:asciiTheme="minorHAnsi" w:eastAsia="Times New Roman" w:hAnsiTheme="minorHAnsi" w:cstheme="minorHAnsi"/>
                <w:color w:val="000000"/>
                <w:sz w:val="18"/>
                <w:szCs w:val="18"/>
                <w:lang w:val="en-GB"/>
              </w:rPr>
              <w:t>state</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7F86"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4</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7CA5029B"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5</w:t>
            </w:r>
          </w:p>
        </w:tc>
      </w:tr>
      <w:tr w:rsidR="00A6719F" w:rsidRPr="005764E8" w14:paraId="643F26F4"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03DD2F23"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The United States’ failure to achieve a just peace</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02B8"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2</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7F831EBD"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3</w:t>
            </w:r>
          </w:p>
        </w:tc>
      </w:tr>
      <w:tr w:rsidR="00A6719F" w:rsidRPr="005764E8" w14:paraId="79C994EF"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65C646DD"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The international community’s disregard for Palestinian</w:t>
            </w:r>
            <w:r w:rsidRPr="00514B50">
              <w:rPr>
                <w:rFonts w:asciiTheme="minorHAnsi" w:eastAsia="Times New Roman" w:hAnsiTheme="minorHAnsi" w:cstheme="minorHAnsi"/>
                <w:color w:val="000000"/>
                <w:sz w:val="18"/>
                <w:szCs w:val="18"/>
                <w:rtl/>
                <w:lang w:val="en-GB"/>
              </w:rPr>
              <w:t xml:space="preserve"> </w:t>
            </w:r>
            <w:r w:rsidRPr="00514B50">
              <w:rPr>
                <w:rFonts w:asciiTheme="minorHAnsi" w:eastAsia="Times New Roman" w:hAnsiTheme="minorHAnsi" w:cstheme="minorHAnsi"/>
                <w:color w:val="000000"/>
                <w:sz w:val="18"/>
                <w:szCs w:val="18"/>
                <w:lang w:val="en-GB"/>
              </w:rPr>
              <w:t>rights and the ongoing occupation</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97F87"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4</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55BE1F74"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5</w:t>
            </w:r>
          </w:p>
        </w:tc>
      </w:tr>
      <w:tr w:rsidR="00A6719F" w:rsidRPr="005764E8" w14:paraId="6BF377C3"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456385F7"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Halting the normalization process between Arab governments</w:t>
            </w:r>
            <w:r w:rsidRPr="00514B50">
              <w:rPr>
                <w:rFonts w:asciiTheme="minorHAnsi" w:eastAsia="Times New Roman" w:hAnsiTheme="minorHAnsi" w:cstheme="minorHAnsi"/>
                <w:color w:val="000000"/>
                <w:sz w:val="18"/>
                <w:szCs w:val="18"/>
                <w:rtl/>
                <w:lang w:val="en-GB"/>
              </w:rPr>
              <w:t xml:space="preserve"> </w:t>
            </w:r>
            <w:r w:rsidRPr="00514B50">
              <w:rPr>
                <w:rFonts w:asciiTheme="minorHAnsi" w:eastAsia="Times New Roman" w:hAnsiTheme="minorHAnsi" w:cstheme="minorHAnsi"/>
                <w:color w:val="000000"/>
                <w:sz w:val="18"/>
                <w:szCs w:val="18"/>
                <w:lang w:val="en-GB"/>
              </w:rPr>
              <w:t>and Israel</w:t>
            </w:r>
            <w:r w:rsidRPr="00514B50">
              <w:rPr>
                <w:rFonts w:asciiTheme="minorHAnsi" w:eastAsia="Times New Roman" w:hAnsiTheme="minorHAnsi" w:cstheme="minorHAnsi"/>
                <w:color w:val="000000"/>
                <w:sz w:val="18"/>
                <w:szCs w:val="18"/>
                <w:rtl/>
                <w:lang w:val="en-GB"/>
              </w:rPr>
              <w:t xml:space="preserve">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395D"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2</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14005617"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3</w:t>
            </w:r>
          </w:p>
        </w:tc>
      </w:tr>
      <w:tr w:rsidR="00A6719F" w:rsidRPr="005764E8" w14:paraId="6F762A9E"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764651A6"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Carrying out the plan or agenda of a foreign power such as</w:t>
            </w:r>
            <w:r w:rsidRPr="00514B50">
              <w:rPr>
                <w:rFonts w:asciiTheme="minorHAnsi" w:eastAsia="Times New Roman" w:hAnsiTheme="minorHAnsi" w:cstheme="minorHAnsi"/>
                <w:color w:val="000000"/>
                <w:sz w:val="18"/>
                <w:szCs w:val="18"/>
                <w:rtl/>
                <w:lang w:val="en-GB"/>
              </w:rPr>
              <w:t xml:space="preserve"> </w:t>
            </w:r>
            <w:r w:rsidRPr="00514B50">
              <w:rPr>
                <w:rFonts w:asciiTheme="minorHAnsi" w:eastAsia="Times New Roman" w:hAnsiTheme="minorHAnsi" w:cstheme="minorHAnsi"/>
                <w:color w:val="000000"/>
                <w:sz w:val="18"/>
                <w:szCs w:val="18"/>
                <w:lang w:val="en-GB"/>
              </w:rPr>
              <w:t>Iran</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73708"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2</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49C6ECC5"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2</w:t>
            </w:r>
          </w:p>
        </w:tc>
      </w:tr>
      <w:tr w:rsidR="00A6719F" w:rsidRPr="005764E8" w14:paraId="3BD67CE9"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234DD334"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Other</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49A1"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2</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1B919A3B"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1</w:t>
            </w:r>
          </w:p>
        </w:tc>
      </w:tr>
      <w:tr w:rsidR="00A6719F" w:rsidRPr="005764E8" w14:paraId="305207EC"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2E82C851"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Don't know / Declined to answer</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A4D0" w14:textId="77777777" w:rsidR="00A6719F" w:rsidRPr="00514B50"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514B50">
              <w:rPr>
                <w:rFonts w:asciiTheme="minorHAnsi" w:eastAsia="Times New Roman" w:hAnsiTheme="minorHAnsi" w:cstheme="minorHAnsi"/>
                <w:color w:val="000000"/>
                <w:sz w:val="18"/>
                <w:szCs w:val="18"/>
                <w:lang w:val="en-GB"/>
              </w:rPr>
              <w:t>5</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72FEB426"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0</w:t>
            </w:r>
          </w:p>
        </w:tc>
      </w:tr>
      <w:tr w:rsidR="00A6719F" w:rsidRPr="005764E8" w14:paraId="30A13B2A" w14:textId="77777777" w:rsidTr="00BC0EA7">
        <w:trPr>
          <w:trHeight w:val="288"/>
        </w:trPr>
        <w:tc>
          <w:tcPr>
            <w:tcW w:w="7605" w:type="dxa"/>
            <w:tcBorders>
              <w:top w:val="single" w:sz="4" w:space="0" w:color="auto"/>
              <w:bottom w:val="single" w:sz="4" w:space="0" w:color="auto"/>
              <w:right w:val="single" w:sz="4" w:space="0" w:color="auto"/>
            </w:tcBorders>
            <w:shd w:val="clear" w:color="auto" w:fill="auto"/>
            <w:vAlign w:val="center"/>
            <w:hideMark/>
          </w:tcPr>
          <w:p w14:paraId="5606B4C9" w14:textId="77777777" w:rsidR="00A6719F" w:rsidRPr="00514B50" w:rsidRDefault="00A6719F" w:rsidP="00BC0EA7">
            <w:pPr>
              <w:spacing w:after="0" w:line="240" w:lineRule="auto"/>
              <w:jc w:val="right"/>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No second option</w:t>
            </w:r>
            <w:r w:rsidRPr="00514B50">
              <w:rPr>
                <w:rFonts w:asciiTheme="minorHAnsi" w:eastAsia="Times New Roman" w:hAnsiTheme="minorHAnsi" w:cstheme="minorHAnsi"/>
                <w:color w:val="000000"/>
                <w:sz w:val="18"/>
                <w:szCs w:val="18"/>
                <w:rtl/>
                <w:lang w:val="en-GB"/>
              </w:rPr>
              <w:t xml:space="preserve">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26ADE" w14:textId="77777777" w:rsidR="00A6719F" w:rsidRPr="00B17FE3" w:rsidRDefault="00A6719F" w:rsidP="00902518">
            <w:pPr>
              <w:bidi w:val="0"/>
              <w:spacing w:after="0" w:line="240" w:lineRule="auto"/>
              <w:jc w:val="center"/>
              <w:rPr>
                <w:rFonts w:asciiTheme="minorHAnsi" w:eastAsia="Times New Roman" w:hAnsiTheme="minorHAnsi" w:cs="Times New Roman"/>
                <w:color w:val="000000"/>
                <w:sz w:val="18"/>
                <w:szCs w:val="18"/>
                <w:rtl/>
                <w:lang w:val="en-GB"/>
              </w:rPr>
            </w:pPr>
            <w:r w:rsidRPr="00B17FE3">
              <w:rPr>
                <w:rFonts w:asciiTheme="minorHAnsi" w:eastAsia="Times New Roman" w:hAnsiTheme="minorHAnsi" w:cstheme="minorHAnsi"/>
                <w:color w:val="000000"/>
                <w:sz w:val="18"/>
                <w:szCs w:val="18"/>
                <w:lang w:val="en-GB"/>
              </w:rPr>
              <w:t>0</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26DABD69" w14:textId="77777777" w:rsidR="00A6719F" w:rsidRPr="00514B50"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514B50">
              <w:rPr>
                <w:rFonts w:asciiTheme="minorHAnsi" w:eastAsia="Times New Roman" w:hAnsiTheme="minorHAnsi" w:cstheme="minorHAnsi"/>
                <w:color w:val="000000"/>
                <w:sz w:val="18"/>
                <w:szCs w:val="18"/>
                <w:lang w:val="en-GB"/>
              </w:rPr>
              <w:t>14</w:t>
            </w:r>
          </w:p>
        </w:tc>
      </w:tr>
      <w:tr w:rsidR="00A6719F" w:rsidRPr="005764E8" w14:paraId="5FC5369D" w14:textId="77777777" w:rsidTr="00BC0EA7">
        <w:trPr>
          <w:trHeight w:val="306"/>
        </w:trPr>
        <w:tc>
          <w:tcPr>
            <w:tcW w:w="7605" w:type="dxa"/>
            <w:tcBorders>
              <w:top w:val="single" w:sz="4" w:space="0" w:color="auto"/>
              <w:bottom w:val="single" w:sz="4" w:space="0" w:color="auto"/>
              <w:right w:val="single" w:sz="4" w:space="0" w:color="auto"/>
            </w:tcBorders>
            <w:shd w:val="clear" w:color="auto" w:fill="auto"/>
            <w:noWrap/>
            <w:vAlign w:val="bottom"/>
            <w:hideMark/>
          </w:tcPr>
          <w:p w14:paraId="346781D1" w14:textId="77777777" w:rsidR="00A6719F" w:rsidRPr="00B17FE3" w:rsidRDefault="00A6719F" w:rsidP="00902518">
            <w:pPr>
              <w:bidi w:val="0"/>
              <w:spacing w:after="0" w:line="240" w:lineRule="auto"/>
              <w:rPr>
                <w:rFonts w:asciiTheme="minorHAnsi" w:eastAsia="Times New Roman" w:hAnsiTheme="minorHAnsi" w:cstheme="minorHAnsi"/>
                <w:color w:val="000000"/>
                <w:sz w:val="18"/>
                <w:szCs w:val="18"/>
                <w:lang w:val="en-GB"/>
              </w:rPr>
            </w:pPr>
            <w:r w:rsidRPr="00B17FE3">
              <w:rPr>
                <w:rFonts w:asciiTheme="minorHAnsi" w:eastAsia="Times New Roman" w:hAnsiTheme="minorHAnsi" w:cstheme="minorHAnsi"/>
                <w:color w:val="000000"/>
                <w:sz w:val="18"/>
                <w:szCs w:val="18"/>
                <w:lang w:val="en-GB"/>
              </w:rPr>
              <w:t>Total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BF450" w14:textId="77777777" w:rsidR="00A6719F" w:rsidRPr="00B17FE3"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B17FE3">
              <w:rPr>
                <w:rFonts w:asciiTheme="minorHAnsi" w:eastAsia="Times New Roman" w:hAnsiTheme="minorHAnsi" w:cstheme="minorHAnsi"/>
                <w:color w:val="000000"/>
                <w:sz w:val="18"/>
                <w:szCs w:val="18"/>
                <w:lang w:val="en-GB"/>
              </w:rPr>
              <w:t>100</w:t>
            </w:r>
          </w:p>
        </w:tc>
        <w:tc>
          <w:tcPr>
            <w:tcW w:w="1189" w:type="dxa"/>
            <w:tcBorders>
              <w:top w:val="single" w:sz="4" w:space="0" w:color="auto"/>
              <w:left w:val="single" w:sz="4" w:space="0" w:color="auto"/>
              <w:bottom w:val="single" w:sz="4" w:space="0" w:color="auto"/>
            </w:tcBorders>
            <w:shd w:val="clear" w:color="auto" w:fill="auto"/>
            <w:noWrap/>
            <w:vAlign w:val="center"/>
            <w:hideMark/>
          </w:tcPr>
          <w:p w14:paraId="54085C2E" w14:textId="77777777" w:rsidR="00A6719F" w:rsidRPr="00B17FE3" w:rsidRDefault="00A6719F" w:rsidP="00902518">
            <w:pPr>
              <w:bidi w:val="0"/>
              <w:spacing w:after="0" w:line="240" w:lineRule="auto"/>
              <w:jc w:val="center"/>
              <w:rPr>
                <w:rFonts w:asciiTheme="minorHAnsi" w:eastAsia="Times New Roman" w:hAnsiTheme="minorHAnsi" w:cstheme="minorHAnsi"/>
                <w:color w:val="000000"/>
                <w:sz w:val="18"/>
                <w:szCs w:val="18"/>
                <w:lang w:val="en-GB"/>
              </w:rPr>
            </w:pPr>
            <w:r w:rsidRPr="00B17FE3">
              <w:rPr>
                <w:rFonts w:asciiTheme="minorHAnsi" w:eastAsia="Times New Roman" w:hAnsiTheme="minorHAnsi" w:cstheme="minorHAnsi"/>
                <w:color w:val="000000"/>
                <w:sz w:val="18"/>
                <w:szCs w:val="18"/>
                <w:lang w:val="en-GB"/>
              </w:rPr>
              <w:t>100</w:t>
            </w:r>
          </w:p>
        </w:tc>
      </w:tr>
    </w:tbl>
    <w:p w14:paraId="2B3CEB94" w14:textId="77777777" w:rsidR="003666B8" w:rsidRPr="00B17FE3" w:rsidRDefault="003666B8"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lastRenderedPageBreak/>
        <w:t>While 67% of respondents reported that the military operation carried out by Hamas was a legitimate resistance operation, 19% reported that it was a somewhat flawed but legitimate resistance operation, and 3% said that it was a legitimate resistance operation that involved heinous or criminal acts, while 5% said it was an illegitimate operation.</w:t>
      </w:r>
    </w:p>
    <w:p w14:paraId="6EAF9309" w14:textId="77777777" w:rsidR="003666B8" w:rsidRPr="00B17FE3" w:rsidRDefault="003666B8" w:rsidP="003666B8">
      <w:pPr>
        <w:bidi w:val="0"/>
        <w:jc w:val="center"/>
        <w:rPr>
          <w:rFonts w:asciiTheme="majorBidi" w:hAnsiTheme="majorBidi" w:cstheme="majorBidi"/>
          <w:b/>
          <w:bCs/>
          <w:szCs w:val="28"/>
          <w:rtl/>
          <w:lang w:val="en-GB" w:bidi="ar-JO"/>
        </w:rPr>
      </w:pPr>
      <w:r w:rsidRPr="00B17FE3">
        <w:rPr>
          <w:rFonts w:asciiTheme="majorBidi" w:hAnsiTheme="majorBidi" w:cstheme="majorBidi"/>
          <w:b/>
          <w:bCs/>
          <w:szCs w:val="28"/>
          <w:lang w:val="en-GB" w:bidi="ar-JO"/>
        </w:rPr>
        <w:t>Assessments of Hamas’ military operation on 7 October 2023</w:t>
      </w:r>
    </w:p>
    <w:p w14:paraId="60CD3E70" w14:textId="6E20BBC9" w:rsidR="00915D85" w:rsidRPr="003666B8" w:rsidRDefault="00756A3D" w:rsidP="00915D85">
      <w:pPr>
        <w:jc w:val="center"/>
        <w:rPr>
          <w:rtl/>
          <w:lang w:val="en-GB" w:bidi="ar-JO"/>
        </w:rPr>
      </w:pPr>
      <w:r>
        <w:rPr>
          <w:noProof/>
        </w:rPr>
        <w:drawing>
          <wp:inline distT="0" distB="0" distL="0" distR="0" wp14:anchorId="3DF2204B" wp14:editId="5035F610">
            <wp:extent cx="6236676" cy="3850888"/>
            <wp:effectExtent l="0" t="0" r="0" b="0"/>
            <wp:docPr id="988118063" name="Chart 1">
              <a:extLst xmlns:a="http://schemas.openxmlformats.org/drawingml/2006/main">
                <a:ext uri="{FF2B5EF4-FFF2-40B4-BE49-F238E27FC236}">
                  <a16:creationId xmlns:a16="http://schemas.microsoft.com/office/drawing/2014/main" id="{7405141A-94EA-6942-88F0-796D8EAAE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B8E2A9" w14:textId="77777777" w:rsidR="00135B25" w:rsidRDefault="00135B25" w:rsidP="00A6719F">
      <w:pPr>
        <w:pStyle w:val="BodyText"/>
        <w:spacing w:line="276" w:lineRule="auto"/>
        <w:jc w:val="both"/>
        <w:rPr>
          <w:rFonts w:asciiTheme="majorBidi" w:hAnsiTheme="majorBidi" w:cstheme="majorBidi"/>
          <w:sz w:val="28"/>
          <w:szCs w:val="28"/>
        </w:rPr>
      </w:pPr>
    </w:p>
    <w:p w14:paraId="14951457" w14:textId="5C3218F3" w:rsidR="003666B8" w:rsidRPr="00B17FE3" w:rsidRDefault="003666B8"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t>The results showed that there is an Arab consensus of 92%</w:t>
      </w:r>
      <w:r w:rsidR="00E3429C">
        <w:rPr>
          <w:rFonts w:asciiTheme="majorBidi" w:hAnsiTheme="majorBidi" w:cstheme="majorBidi"/>
          <w:sz w:val="28"/>
          <w:szCs w:val="28"/>
        </w:rPr>
        <w:t xml:space="preserve"> </w:t>
      </w:r>
      <w:r w:rsidR="00B70989">
        <w:rPr>
          <w:rFonts w:asciiTheme="majorBidi" w:hAnsiTheme="majorBidi" w:cstheme="majorBidi"/>
          <w:sz w:val="28"/>
          <w:szCs w:val="28"/>
        </w:rPr>
        <w:t xml:space="preserve">expressing </w:t>
      </w:r>
      <w:r w:rsidRPr="00B17FE3">
        <w:rPr>
          <w:rFonts w:asciiTheme="majorBidi" w:hAnsiTheme="majorBidi" w:cstheme="majorBidi"/>
          <w:sz w:val="28"/>
          <w:szCs w:val="28"/>
        </w:rPr>
        <w:t xml:space="preserve">solidarity </w:t>
      </w:r>
      <w:r w:rsidR="00B70989">
        <w:rPr>
          <w:rFonts w:asciiTheme="majorBidi" w:hAnsiTheme="majorBidi" w:cstheme="majorBidi"/>
          <w:sz w:val="28"/>
          <w:szCs w:val="28"/>
        </w:rPr>
        <w:t>with</w:t>
      </w:r>
      <w:r w:rsidRPr="00B17FE3">
        <w:rPr>
          <w:rFonts w:asciiTheme="majorBidi" w:hAnsiTheme="majorBidi" w:cstheme="majorBidi"/>
          <w:sz w:val="28"/>
          <w:szCs w:val="28"/>
        </w:rPr>
        <w:t xml:space="preserve"> the citizens of the Arab region with the Palestinian people in Gaza. While 69% of respondents expressed their solidarity with Palestinians and</w:t>
      </w:r>
      <w:r w:rsidRPr="00B17FE3">
        <w:rPr>
          <w:rFonts w:asciiTheme="majorBidi" w:hAnsiTheme="majorBidi" w:cstheme="majorBidi"/>
          <w:i/>
          <w:iCs/>
          <w:sz w:val="28"/>
          <w:szCs w:val="28"/>
        </w:rPr>
        <w:t xml:space="preserve"> </w:t>
      </w:r>
      <w:r w:rsidRPr="00B17FE3">
        <w:rPr>
          <w:rFonts w:asciiTheme="majorBidi" w:hAnsiTheme="majorBidi" w:cstheme="majorBidi"/>
          <w:sz w:val="28"/>
          <w:szCs w:val="28"/>
        </w:rPr>
        <w:t>support for Hamas, 23% expressed solidarity with Palestinians despite opposing Hamas, and 1% expressed a lack of solidarity with the Palestinians.</w:t>
      </w:r>
    </w:p>
    <w:p w14:paraId="696DDE21" w14:textId="77777777" w:rsidR="003666B8" w:rsidRDefault="003666B8" w:rsidP="003666B8">
      <w:pPr>
        <w:pStyle w:val="BodyText"/>
      </w:pPr>
    </w:p>
    <w:p w14:paraId="00BFA0D0" w14:textId="77777777" w:rsidR="00AA6B02" w:rsidRDefault="00AA6B02" w:rsidP="00CC1ABC">
      <w:pPr>
        <w:pStyle w:val="BodyText"/>
        <w:jc w:val="center"/>
        <w:rPr>
          <w:b/>
          <w:bCs/>
          <w:sz w:val="28"/>
          <w:szCs w:val="28"/>
        </w:rPr>
      </w:pPr>
    </w:p>
    <w:p w14:paraId="24A4B192" w14:textId="77777777" w:rsidR="00AA6B02" w:rsidRDefault="00AA6B02" w:rsidP="00CC1ABC">
      <w:pPr>
        <w:pStyle w:val="BodyText"/>
        <w:jc w:val="center"/>
        <w:rPr>
          <w:b/>
          <w:bCs/>
          <w:sz w:val="28"/>
          <w:szCs w:val="28"/>
        </w:rPr>
      </w:pPr>
    </w:p>
    <w:p w14:paraId="4DF16D26" w14:textId="77777777" w:rsidR="00AA6B02" w:rsidRDefault="00AA6B02" w:rsidP="00CC1ABC">
      <w:pPr>
        <w:pStyle w:val="BodyText"/>
        <w:jc w:val="center"/>
        <w:rPr>
          <w:b/>
          <w:bCs/>
          <w:sz w:val="28"/>
          <w:szCs w:val="28"/>
        </w:rPr>
      </w:pPr>
    </w:p>
    <w:p w14:paraId="35801F70" w14:textId="77777777" w:rsidR="00AA6B02" w:rsidRDefault="00AA6B02" w:rsidP="00CC1ABC">
      <w:pPr>
        <w:pStyle w:val="BodyText"/>
        <w:jc w:val="center"/>
        <w:rPr>
          <w:b/>
          <w:bCs/>
          <w:sz w:val="28"/>
          <w:szCs w:val="28"/>
        </w:rPr>
      </w:pPr>
    </w:p>
    <w:p w14:paraId="0B6C4AAF" w14:textId="77777777" w:rsidR="00AA6B02" w:rsidRDefault="00AA6B02" w:rsidP="00CC1ABC">
      <w:pPr>
        <w:pStyle w:val="BodyText"/>
        <w:jc w:val="center"/>
        <w:rPr>
          <w:b/>
          <w:bCs/>
          <w:sz w:val="28"/>
          <w:szCs w:val="28"/>
        </w:rPr>
      </w:pPr>
    </w:p>
    <w:p w14:paraId="6BCD699E" w14:textId="77777777" w:rsidR="00AA6B02" w:rsidRDefault="00AA6B02" w:rsidP="00CC1ABC">
      <w:pPr>
        <w:pStyle w:val="BodyText"/>
        <w:jc w:val="center"/>
        <w:rPr>
          <w:b/>
          <w:bCs/>
          <w:sz w:val="28"/>
          <w:szCs w:val="28"/>
        </w:rPr>
      </w:pPr>
    </w:p>
    <w:p w14:paraId="65212BC7" w14:textId="5C8835E8" w:rsidR="003666B8" w:rsidRPr="00B17FE3" w:rsidRDefault="003666B8" w:rsidP="00CC1ABC">
      <w:pPr>
        <w:pStyle w:val="BodyText"/>
        <w:jc w:val="center"/>
        <w:rPr>
          <w:rFonts w:asciiTheme="majorBidi" w:hAnsiTheme="majorBidi" w:cstheme="majorBidi"/>
          <w:b/>
          <w:bCs/>
          <w:i/>
          <w:iCs/>
          <w:sz w:val="28"/>
          <w:szCs w:val="28"/>
        </w:rPr>
      </w:pPr>
      <w:r w:rsidRPr="00B17FE3">
        <w:rPr>
          <w:rFonts w:asciiTheme="majorBidi" w:hAnsiTheme="majorBidi" w:cstheme="majorBidi"/>
          <w:b/>
          <w:bCs/>
          <w:sz w:val="28"/>
          <w:szCs w:val="28"/>
        </w:rPr>
        <w:t>Solidarity with Palestinians and support for Hamas</w:t>
      </w:r>
    </w:p>
    <w:p w14:paraId="4C32C958" w14:textId="77777777" w:rsidR="003666B8" w:rsidRDefault="003666B8" w:rsidP="003666B8">
      <w:pPr>
        <w:bidi w:val="0"/>
        <w:spacing w:line="360" w:lineRule="auto"/>
        <w:contextualSpacing/>
        <w:rPr>
          <w:rFonts w:ascii="Times New Roman" w:hAnsi="Times New Roman"/>
          <w:szCs w:val="28"/>
          <w:lang w:val="en-GB" w:bidi="ar-QA"/>
        </w:rPr>
      </w:pPr>
    </w:p>
    <w:p w14:paraId="07519C93" w14:textId="5686EA2E" w:rsidR="00162C6B" w:rsidRPr="003666B8" w:rsidRDefault="00680929" w:rsidP="00162C6B">
      <w:pPr>
        <w:jc w:val="center"/>
        <w:rPr>
          <w:rtl/>
          <w:lang w:val="en-GB" w:bidi="ar-JO"/>
        </w:rPr>
      </w:pPr>
      <w:r>
        <w:rPr>
          <w:noProof/>
        </w:rPr>
        <w:drawing>
          <wp:inline distT="0" distB="0" distL="0" distR="0" wp14:anchorId="2ADEC4E3" wp14:editId="3B809DE4">
            <wp:extent cx="4795025" cy="3226419"/>
            <wp:effectExtent l="0" t="0" r="5715" b="0"/>
            <wp:docPr id="1615236440" name="Chart 1">
              <a:extLst xmlns:a="http://schemas.openxmlformats.org/drawingml/2006/main">
                <a:ext uri="{FF2B5EF4-FFF2-40B4-BE49-F238E27FC236}">
                  <a16:creationId xmlns:a16="http://schemas.microsoft.com/office/drawing/2014/main" id="{2E2F3927-A5FE-D5B8-1C8A-2DA1801F2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333320" w14:textId="77777777" w:rsidR="009D0564" w:rsidRDefault="009D0564" w:rsidP="00A6719F">
      <w:pPr>
        <w:bidi w:val="0"/>
        <w:spacing w:line="240" w:lineRule="auto"/>
        <w:rPr>
          <w:rFonts w:asciiTheme="majorBidi" w:hAnsiTheme="majorBidi" w:cstheme="majorBidi"/>
          <w:szCs w:val="28"/>
          <w:lang w:val="en-GB" w:bidi="ar-QA"/>
        </w:rPr>
      </w:pPr>
    </w:p>
    <w:p w14:paraId="2FF3C138" w14:textId="77777777" w:rsidR="009D0564" w:rsidRDefault="009D0564" w:rsidP="009D0564">
      <w:pPr>
        <w:bidi w:val="0"/>
        <w:spacing w:line="240" w:lineRule="auto"/>
        <w:rPr>
          <w:rFonts w:asciiTheme="majorBidi" w:hAnsiTheme="majorBidi" w:cstheme="majorBidi"/>
          <w:szCs w:val="28"/>
          <w:lang w:val="en-GB" w:bidi="ar-QA"/>
        </w:rPr>
      </w:pPr>
    </w:p>
    <w:p w14:paraId="32F3365A" w14:textId="77777777" w:rsidR="009D0564" w:rsidRDefault="009D0564" w:rsidP="009D0564">
      <w:pPr>
        <w:bidi w:val="0"/>
        <w:spacing w:line="240" w:lineRule="auto"/>
        <w:rPr>
          <w:rFonts w:asciiTheme="majorBidi" w:hAnsiTheme="majorBidi" w:cstheme="majorBidi"/>
          <w:szCs w:val="28"/>
          <w:lang w:val="en-GB" w:bidi="ar-QA"/>
        </w:rPr>
      </w:pPr>
    </w:p>
    <w:p w14:paraId="351F0AE4" w14:textId="77777777" w:rsidR="009D0564" w:rsidRDefault="009D0564" w:rsidP="009D0564">
      <w:pPr>
        <w:bidi w:val="0"/>
        <w:spacing w:line="240" w:lineRule="auto"/>
        <w:rPr>
          <w:rFonts w:asciiTheme="majorBidi" w:hAnsiTheme="majorBidi" w:cstheme="majorBidi"/>
          <w:szCs w:val="28"/>
          <w:lang w:val="en-GB" w:bidi="ar-QA"/>
        </w:rPr>
      </w:pPr>
    </w:p>
    <w:p w14:paraId="0C7F7531" w14:textId="77777777" w:rsidR="009D0564" w:rsidRDefault="009D0564" w:rsidP="009D0564">
      <w:pPr>
        <w:bidi w:val="0"/>
        <w:spacing w:line="240" w:lineRule="auto"/>
        <w:rPr>
          <w:rFonts w:asciiTheme="majorBidi" w:hAnsiTheme="majorBidi" w:cstheme="majorBidi"/>
          <w:szCs w:val="28"/>
          <w:lang w:val="en-GB" w:bidi="ar-QA"/>
        </w:rPr>
      </w:pPr>
    </w:p>
    <w:p w14:paraId="207DDC90" w14:textId="77777777" w:rsidR="009D0564" w:rsidRDefault="009D0564" w:rsidP="009D0564">
      <w:pPr>
        <w:bidi w:val="0"/>
        <w:spacing w:line="240" w:lineRule="auto"/>
        <w:rPr>
          <w:rFonts w:asciiTheme="majorBidi" w:hAnsiTheme="majorBidi" w:cstheme="majorBidi"/>
          <w:szCs w:val="28"/>
          <w:lang w:val="en-GB" w:bidi="ar-QA"/>
        </w:rPr>
      </w:pPr>
    </w:p>
    <w:p w14:paraId="221CCED3" w14:textId="77777777" w:rsidR="009D0564" w:rsidRDefault="009D0564" w:rsidP="009D0564">
      <w:pPr>
        <w:bidi w:val="0"/>
        <w:spacing w:line="240" w:lineRule="auto"/>
        <w:rPr>
          <w:rFonts w:asciiTheme="majorBidi" w:hAnsiTheme="majorBidi" w:cstheme="majorBidi"/>
          <w:szCs w:val="28"/>
          <w:lang w:val="en-GB" w:bidi="ar-QA"/>
        </w:rPr>
      </w:pPr>
    </w:p>
    <w:p w14:paraId="502EB783" w14:textId="77777777" w:rsidR="009D0564" w:rsidRDefault="009D0564" w:rsidP="009D0564">
      <w:pPr>
        <w:bidi w:val="0"/>
        <w:spacing w:line="240" w:lineRule="auto"/>
        <w:rPr>
          <w:rFonts w:asciiTheme="majorBidi" w:hAnsiTheme="majorBidi" w:cstheme="majorBidi"/>
          <w:szCs w:val="28"/>
          <w:lang w:val="en-GB" w:bidi="ar-QA"/>
        </w:rPr>
      </w:pPr>
    </w:p>
    <w:p w14:paraId="459DECFC" w14:textId="77777777" w:rsidR="009D0564" w:rsidRDefault="009D0564" w:rsidP="009D0564">
      <w:pPr>
        <w:bidi w:val="0"/>
        <w:spacing w:line="240" w:lineRule="auto"/>
        <w:rPr>
          <w:rFonts w:asciiTheme="majorBidi" w:hAnsiTheme="majorBidi" w:cstheme="majorBidi"/>
          <w:szCs w:val="28"/>
          <w:lang w:val="en-GB" w:bidi="ar-QA"/>
        </w:rPr>
      </w:pPr>
    </w:p>
    <w:p w14:paraId="51523BCE" w14:textId="77777777" w:rsidR="009D0564" w:rsidRDefault="009D0564" w:rsidP="009D0564">
      <w:pPr>
        <w:bidi w:val="0"/>
        <w:spacing w:line="240" w:lineRule="auto"/>
        <w:rPr>
          <w:rFonts w:asciiTheme="majorBidi" w:hAnsiTheme="majorBidi" w:cstheme="majorBidi"/>
          <w:szCs w:val="28"/>
          <w:lang w:val="en-GB" w:bidi="ar-QA"/>
        </w:rPr>
      </w:pPr>
    </w:p>
    <w:p w14:paraId="0AC2D1AC" w14:textId="77777777" w:rsidR="009D0564" w:rsidRDefault="009D0564" w:rsidP="009D0564">
      <w:pPr>
        <w:bidi w:val="0"/>
        <w:spacing w:line="240" w:lineRule="auto"/>
        <w:rPr>
          <w:rFonts w:asciiTheme="majorBidi" w:hAnsiTheme="majorBidi" w:cstheme="majorBidi"/>
          <w:szCs w:val="28"/>
          <w:lang w:val="en-GB" w:bidi="ar-QA"/>
        </w:rPr>
      </w:pPr>
    </w:p>
    <w:p w14:paraId="62FD6D34" w14:textId="77777777" w:rsidR="009D0564" w:rsidRDefault="009D0564" w:rsidP="009D0564">
      <w:pPr>
        <w:bidi w:val="0"/>
        <w:spacing w:line="240" w:lineRule="auto"/>
        <w:rPr>
          <w:rFonts w:asciiTheme="majorBidi" w:hAnsiTheme="majorBidi" w:cstheme="majorBidi"/>
          <w:szCs w:val="28"/>
          <w:lang w:val="en-GB" w:bidi="ar-QA"/>
        </w:rPr>
      </w:pPr>
    </w:p>
    <w:p w14:paraId="774ECF07" w14:textId="40C09E13" w:rsidR="00CC1ABC" w:rsidRPr="00772AF1" w:rsidRDefault="007B7BF3" w:rsidP="009D0564">
      <w:pPr>
        <w:bidi w:val="0"/>
        <w:spacing w:line="240" w:lineRule="auto"/>
        <w:rPr>
          <w:rFonts w:asciiTheme="minorHAnsi" w:hAnsiTheme="minorHAnsi" w:cs="Times New Roman"/>
          <w:b/>
          <w:bCs/>
          <w:sz w:val="24"/>
          <w:szCs w:val="24"/>
          <w:rtl/>
          <w:lang w:val="en-GB"/>
        </w:rPr>
      </w:pPr>
      <w:proofErr w:type="gramStart"/>
      <w:r>
        <w:rPr>
          <w:rFonts w:asciiTheme="majorBidi" w:hAnsiTheme="majorBidi" w:cstheme="majorBidi"/>
          <w:szCs w:val="28"/>
          <w:lang w:val="en-GB" w:bidi="ar-QA"/>
        </w:rPr>
        <w:lastRenderedPageBreak/>
        <w:t xml:space="preserve">The </w:t>
      </w:r>
      <w:r w:rsidR="005D61E3">
        <w:rPr>
          <w:rFonts w:asciiTheme="majorBidi" w:hAnsiTheme="majorBidi" w:cstheme="majorBidi"/>
          <w:szCs w:val="28"/>
          <w:lang w:val="en-GB" w:bidi="ar-QA"/>
        </w:rPr>
        <w:t>majority of</w:t>
      </w:r>
      <w:proofErr w:type="gramEnd"/>
      <w:r>
        <w:rPr>
          <w:rFonts w:asciiTheme="majorBidi" w:hAnsiTheme="majorBidi" w:cstheme="majorBidi"/>
          <w:szCs w:val="28"/>
          <w:lang w:val="en-GB" w:bidi="ar-QA"/>
        </w:rPr>
        <w:t xml:space="preserve"> </w:t>
      </w:r>
      <w:r w:rsidR="00A11B0A">
        <w:rPr>
          <w:rFonts w:asciiTheme="majorBidi" w:hAnsiTheme="majorBidi" w:cstheme="majorBidi"/>
          <w:szCs w:val="28"/>
          <w:lang w:val="en-GB" w:bidi="ar-QA"/>
        </w:rPr>
        <w:t xml:space="preserve">respondents rejected comparisons </w:t>
      </w:r>
      <w:r w:rsidR="004F548F">
        <w:rPr>
          <w:rFonts w:asciiTheme="majorBidi" w:hAnsiTheme="majorBidi" w:cstheme="majorBidi"/>
          <w:szCs w:val="28"/>
          <w:lang w:val="en-GB" w:bidi="ar-QA"/>
        </w:rPr>
        <w:t xml:space="preserve">between </w:t>
      </w:r>
      <w:r w:rsidR="00CC1ABC" w:rsidRPr="00B17FE3">
        <w:rPr>
          <w:rFonts w:asciiTheme="majorBidi" w:hAnsiTheme="majorBidi" w:cstheme="majorBidi"/>
          <w:szCs w:val="28"/>
          <w:lang w:val="en-GB" w:bidi="ar-QA"/>
        </w:rPr>
        <w:t>Hamas</w:t>
      </w:r>
      <w:r w:rsidR="003666B8" w:rsidRPr="00B17FE3">
        <w:rPr>
          <w:rFonts w:asciiTheme="majorBidi" w:hAnsiTheme="majorBidi" w:cstheme="majorBidi"/>
          <w:szCs w:val="28"/>
          <w:lang w:val="en-GB" w:bidi="ar-QA"/>
        </w:rPr>
        <w:t xml:space="preserve"> </w:t>
      </w:r>
      <w:r w:rsidR="004F548F">
        <w:rPr>
          <w:rFonts w:asciiTheme="majorBidi" w:hAnsiTheme="majorBidi" w:cstheme="majorBidi"/>
          <w:szCs w:val="28"/>
          <w:lang w:val="en-GB" w:bidi="ar-QA"/>
        </w:rPr>
        <w:t>and</w:t>
      </w:r>
      <w:r w:rsidR="004F50A2">
        <w:rPr>
          <w:rFonts w:asciiTheme="majorBidi" w:hAnsiTheme="majorBidi" w:cstheme="majorBidi"/>
          <w:szCs w:val="28"/>
          <w:lang w:val="en-GB" w:bidi="ar-QA"/>
        </w:rPr>
        <w:t xml:space="preserve"> ISIS </w:t>
      </w:r>
      <w:r w:rsidR="001D0296">
        <w:rPr>
          <w:rFonts w:asciiTheme="majorBidi" w:hAnsiTheme="majorBidi" w:cstheme="majorBidi"/>
          <w:szCs w:val="28"/>
          <w:lang w:val="en-GB" w:bidi="ar-QA"/>
        </w:rPr>
        <w:t>made</w:t>
      </w:r>
      <w:r w:rsidR="003666B8" w:rsidRPr="00B17FE3">
        <w:rPr>
          <w:rFonts w:asciiTheme="majorBidi" w:hAnsiTheme="majorBidi" w:cstheme="majorBidi"/>
          <w:szCs w:val="28"/>
          <w:lang w:val="en-GB" w:bidi="ar-QA"/>
        </w:rPr>
        <w:t xml:space="preserve"> by </w:t>
      </w:r>
      <w:r w:rsidR="00FB22E5">
        <w:rPr>
          <w:rFonts w:asciiTheme="majorBidi" w:hAnsiTheme="majorBidi" w:cstheme="majorBidi"/>
          <w:szCs w:val="28"/>
          <w:lang w:val="en-GB" w:bidi="ar-QA"/>
        </w:rPr>
        <w:t xml:space="preserve">predominately </w:t>
      </w:r>
      <w:r w:rsidR="00810ABE">
        <w:rPr>
          <w:rFonts w:asciiTheme="majorBidi" w:hAnsiTheme="majorBidi" w:cstheme="majorBidi"/>
          <w:szCs w:val="28"/>
          <w:lang w:val="en-GB" w:bidi="ar-QA"/>
        </w:rPr>
        <w:t xml:space="preserve">Israeli and </w:t>
      </w:r>
      <w:r w:rsidR="00FB22E5">
        <w:rPr>
          <w:rFonts w:asciiTheme="majorBidi" w:hAnsiTheme="majorBidi" w:cstheme="majorBidi"/>
          <w:szCs w:val="28"/>
          <w:lang w:val="en-GB" w:bidi="ar-QA"/>
        </w:rPr>
        <w:t>West</w:t>
      </w:r>
      <w:r w:rsidR="00B70989">
        <w:rPr>
          <w:rFonts w:asciiTheme="majorBidi" w:hAnsiTheme="majorBidi" w:cstheme="majorBidi"/>
          <w:szCs w:val="28"/>
          <w:lang w:val="en-GB" w:bidi="ar-QA"/>
        </w:rPr>
        <w:t>e</w:t>
      </w:r>
      <w:r w:rsidR="00FB22E5">
        <w:rPr>
          <w:rFonts w:asciiTheme="majorBidi" w:hAnsiTheme="majorBidi" w:cstheme="majorBidi"/>
          <w:szCs w:val="28"/>
          <w:lang w:val="en-GB" w:bidi="ar-QA"/>
        </w:rPr>
        <w:t xml:space="preserve">rn </w:t>
      </w:r>
      <w:r w:rsidR="003666B8" w:rsidRPr="00B17FE3">
        <w:rPr>
          <w:rFonts w:asciiTheme="majorBidi" w:hAnsiTheme="majorBidi" w:cstheme="majorBidi"/>
          <w:szCs w:val="28"/>
          <w:lang w:val="en-GB" w:bidi="ar-QA"/>
        </w:rPr>
        <w:t>politicians and media personali</w:t>
      </w:r>
      <w:r w:rsidR="00CC1ABC" w:rsidRPr="00B17FE3">
        <w:rPr>
          <w:rFonts w:asciiTheme="majorBidi" w:hAnsiTheme="majorBidi" w:cstheme="majorBidi"/>
          <w:szCs w:val="28"/>
          <w:lang w:val="en-GB" w:bidi="ar-QA"/>
        </w:rPr>
        <w:t>ti</w:t>
      </w:r>
      <w:r w:rsidR="003666B8" w:rsidRPr="00B17FE3">
        <w:rPr>
          <w:rFonts w:asciiTheme="majorBidi" w:hAnsiTheme="majorBidi" w:cstheme="majorBidi"/>
          <w:szCs w:val="28"/>
          <w:lang w:val="en-GB" w:bidi="ar-QA"/>
        </w:rPr>
        <w:t>es</w:t>
      </w:r>
      <w:r w:rsidR="00281640">
        <w:rPr>
          <w:rFonts w:asciiTheme="majorBidi" w:hAnsiTheme="majorBidi" w:cstheme="majorBidi"/>
          <w:szCs w:val="28"/>
          <w:lang w:val="en-GB" w:bidi="ar-QA"/>
        </w:rPr>
        <w:t>.</w:t>
      </w:r>
    </w:p>
    <w:p w14:paraId="25693F5F" w14:textId="77777777" w:rsidR="00CC1ABC" w:rsidRPr="00B17FE3" w:rsidRDefault="00CC1ABC" w:rsidP="00CC1ABC">
      <w:pPr>
        <w:bidi w:val="0"/>
        <w:jc w:val="center"/>
        <w:rPr>
          <w:rFonts w:asciiTheme="majorBidi" w:hAnsiTheme="majorBidi" w:cstheme="majorBidi"/>
          <w:b/>
          <w:bCs/>
          <w:szCs w:val="28"/>
          <w:rtl/>
          <w:lang w:val="en-GB" w:bidi="ar-JO"/>
        </w:rPr>
      </w:pPr>
      <w:r w:rsidRPr="00B17FE3">
        <w:rPr>
          <w:rFonts w:asciiTheme="majorBidi" w:hAnsiTheme="majorBidi" w:cstheme="majorBidi"/>
          <w:b/>
          <w:bCs/>
          <w:szCs w:val="28"/>
          <w:lang w:val="en-GB" w:bidi="ar-JO"/>
        </w:rPr>
        <w:t>Comparisons between Hamas and ISIS</w:t>
      </w:r>
    </w:p>
    <w:p w14:paraId="7BEDC179" w14:textId="424F9278" w:rsidR="00A81492" w:rsidRPr="003666B8" w:rsidRDefault="009D0564" w:rsidP="00A81492">
      <w:pPr>
        <w:jc w:val="center"/>
        <w:rPr>
          <w:b/>
          <w:bCs/>
          <w:szCs w:val="28"/>
          <w:rtl/>
          <w:lang w:val="en-GB" w:bidi="ar-JO"/>
        </w:rPr>
      </w:pPr>
      <w:r>
        <w:rPr>
          <w:noProof/>
        </w:rPr>
        <w:drawing>
          <wp:inline distT="0" distB="0" distL="0" distR="0" wp14:anchorId="72B23583" wp14:editId="412DB388">
            <wp:extent cx="4923666" cy="3241288"/>
            <wp:effectExtent l="0" t="0" r="0" b="0"/>
            <wp:docPr id="141623163" name="Chart 1">
              <a:extLst xmlns:a="http://schemas.openxmlformats.org/drawingml/2006/main">
                <a:ext uri="{FF2B5EF4-FFF2-40B4-BE49-F238E27FC236}">
                  <a16:creationId xmlns:a16="http://schemas.microsoft.com/office/drawing/2014/main" id="{8699BBFE-B924-721B-032F-E0785B100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9E9DF7" w14:textId="68967A08" w:rsidR="000E1A0E" w:rsidRPr="000E1A0E" w:rsidRDefault="000E1A0E" w:rsidP="00A6719F">
      <w:pPr>
        <w:bidi w:val="0"/>
        <w:spacing w:line="240" w:lineRule="auto"/>
        <w:rPr>
          <w:rFonts w:ascii="Times New Roman" w:hAnsi="Times New Roman"/>
          <w:szCs w:val="28"/>
          <w:lang w:bidi="ar-QA"/>
        </w:rPr>
      </w:pPr>
      <w:r w:rsidRPr="00B17FE3">
        <w:rPr>
          <w:rFonts w:asciiTheme="majorBidi" w:hAnsiTheme="majorBidi" w:cstheme="majorBidi"/>
          <w:lang w:bidi="ar-QA"/>
        </w:rPr>
        <w:t xml:space="preserve">When asked about the responses of regional and international powers to Israel’s war on Gaza, 94% considered the US position </w:t>
      </w:r>
      <w:r w:rsidR="00E733B9">
        <w:rPr>
          <w:rFonts w:asciiTheme="majorBidi" w:hAnsiTheme="majorBidi" w:cstheme="majorBidi"/>
          <w:lang w:bidi="ar-QA"/>
        </w:rPr>
        <w:t>negatively</w:t>
      </w:r>
      <w:r w:rsidRPr="00B17FE3">
        <w:rPr>
          <w:rFonts w:asciiTheme="majorBidi" w:hAnsiTheme="majorBidi" w:cstheme="majorBidi"/>
          <w:lang w:bidi="ar-QA"/>
        </w:rPr>
        <w:t xml:space="preserve">, </w:t>
      </w:r>
      <w:r w:rsidR="00E733B9">
        <w:rPr>
          <w:rFonts w:asciiTheme="majorBidi" w:hAnsiTheme="majorBidi" w:cstheme="majorBidi"/>
          <w:lang w:bidi="ar-QA"/>
        </w:rPr>
        <w:t xml:space="preserve">with </w:t>
      </w:r>
      <w:r w:rsidRPr="00B17FE3">
        <w:rPr>
          <w:rFonts w:asciiTheme="majorBidi" w:hAnsiTheme="majorBidi" w:cstheme="majorBidi"/>
          <w:lang w:bidi="ar-QA"/>
        </w:rPr>
        <w:t>82% consider</w:t>
      </w:r>
      <w:r w:rsidR="00E733B9">
        <w:rPr>
          <w:rFonts w:asciiTheme="majorBidi" w:hAnsiTheme="majorBidi" w:cstheme="majorBidi"/>
          <w:lang w:bidi="ar-QA"/>
        </w:rPr>
        <w:t>ing</w:t>
      </w:r>
      <w:r w:rsidRPr="00B17FE3">
        <w:rPr>
          <w:rFonts w:asciiTheme="majorBidi" w:hAnsiTheme="majorBidi" w:cstheme="majorBidi"/>
          <w:lang w:bidi="ar-QA"/>
        </w:rPr>
        <w:t xml:space="preserve"> it very bad. In the same context, 79%</w:t>
      </w:r>
      <w:r w:rsidR="008A3142" w:rsidRPr="00B17FE3">
        <w:rPr>
          <w:rFonts w:asciiTheme="majorBidi" w:hAnsiTheme="majorBidi" w:cstheme="majorBidi"/>
          <w:lang w:bidi="ar-QA"/>
        </w:rPr>
        <w:t>, 78%, and 75% of respondents</w:t>
      </w:r>
      <w:r w:rsidR="00D769EC">
        <w:rPr>
          <w:rFonts w:asciiTheme="majorBidi" w:hAnsiTheme="majorBidi" w:cstheme="majorBidi"/>
          <w:lang w:bidi="ar-QA"/>
        </w:rPr>
        <w:t xml:space="preserve"> viewed</w:t>
      </w:r>
      <w:r w:rsidR="008A3142" w:rsidRPr="00B17FE3">
        <w:rPr>
          <w:rFonts w:asciiTheme="majorBidi" w:hAnsiTheme="majorBidi" w:cstheme="majorBidi"/>
          <w:lang w:bidi="ar-QA"/>
        </w:rPr>
        <w:t xml:space="preserve"> positions of France, the UK, and Germany </w:t>
      </w:r>
      <w:r w:rsidR="00F52906" w:rsidRPr="00B17FE3">
        <w:rPr>
          <w:rFonts w:asciiTheme="majorBidi" w:hAnsiTheme="majorBidi" w:cstheme="majorBidi"/>
          <w:lang w:bidi="ar-QA"/>
        </w:rPr>
        <w:t xml:space="preserve">negatively. Opinion was split over the positions of </w:t>
      </w:r>
      <w:r w:rsidR="00F2503D" w:rsidRPr="00B17FE3">
        <w:rPr>
          <w:rFonts w:asciiTheme="majorBidi" w:hAnsiTheme="majorBidi" w:cstheme="majorBidi"/>
          <w:lang w:bidi="ar-QA"/>
        </w:rPr>
        <w:t xml:space="preserve">Iran, Turkey, Russia, and China. While </w:t>
      </w:r>
      <w:r w:rsidR="000716DF" w:rsidRPr="00B17FE3">
        <w:rPr>
          <w:rFonts w:asciiTheme="majorBidi" w:hAnsiTheme="majorBidi" w:cstheme="majorBidi"/>
          <w:lang w:bidi="ar-QA"/>
        </w:rPr>
        <w:t>(48%, 47%, 41%, 40%, respectively)</w:t>
      </w:r>
      <w:r w:rsidR="002F3561" w:rsidRPr="00B17FE3">
        <w:rPr>
          <w:rFonts w:asciiTheme="majorBidi" w:hAnsiTheme="majorBidi" w:cstheme="majorBidi"/>
          <w:lang w:bidi="ar-QA"/>
        </w:rPr>
        <w:t xml:space="preserve"> </w:t>
      </w:r>
      <w:r w:rsidR="000716DF" w:rsidRPr="00B17FE3">
        <w:rPr>
          <w:rFonts w:asciiTheme="majorBidi" w:hAnsiTheme="majorBidi" w:cstheme="majorBidi"/>
          <w:lang w:bidi="ar-QA"/>
        </w:rPr>
        <w:t xml:space="preserve">considered </w:t>
      </w:r>
      <w:r w:rsidR="002F3561" w:rsidRPr="00B17FE3">
        <w:rPr>
          <w:rFonts w:asciiTheme="majorBidi" w:hAnsiTheme="majorBidi" w:cstheme="majorBidi"/>
          <w:lang w:bidi="ar-QA"/>
        </w:rPr>
        <w:t>them positively</w:t>
      </w:r>
      <w:r w:rsidR="000716DF" w:rsidRPr="00B17FE3">
        <w:rPr>
          <w:rFonts w:asciiTheme="majorBidi" w:hAnsiTheme="majorBidi" w:cstheme="majorBidi"/>
          <w:lang w:bidi="ar-QA"/>
        </w:rPr>
        <w:t xml:space="preserve"> (37%, 40%, 42%, 38%, respectively)</w:t>
      </w:r>
      <w:r w:rsidR="0092591D">
        <w:rPr>
          <w:rFonts w:asciiTheme="majorBidi" w:hAnsiTheme="majorBidi" w:cstheme="majorBidi"/>
          <w:lang w:bidi="ar-QA"/>
        </w:rPr>
        <w:t>.</w:t>
      </w:r>
      <w:r w:rsidR="002F3561" w:rsidRPr="00B17FE3">
        <w:rPr>
          <w:rFonts w:asciiTheme="majorBidi" w:hAnsiTheme="majorBidi" w:cstheme="majorBidi"/>
          <w:lang w:bidi="ar-QA"/>
        </w:rPr>
        <w:t xml:space="preserve"> </w:t>
      </w:r>
    </w:p>
    <w:p w14:paraId="3A5B3860" w14:textId="77777777" w:rsidR="00E63DD5" w:rsidRDefault="00E63DD5" w:rsidP="00E63DD5">
      <w:pPr>
        <w:pStyle w:val="Caption"/>
        <w:bidi w:val="0"/>
        <w:rPr>
          <w:rFonts w:asciiTheme="majorBidi" w:hAnsiTheme="majorBidi" w:cstheme="majorBidi"/>
          <w:sz w:val="28"/>
          <w:szCs w:val="28"/>
          <w:lang w:bidi="ar-JO"/>
        </w:rPr>
      </w:pPr>
      <w:r w:rsidRPr="00B17FE3">
        <w:rPr>
          <w:rFonts w:asciiTheme="majorBidi" w:hAnsiTheme="majorBidi" w:cstheme="majorBidi"/>
          <w:sz w:val="28"/>
          <w:szCs w:val="28"/>
          <w:lang w:bidi="ar-JO"/>
        </w:rPr>
        <w:lastRenderedPageBreak/>
        <w:t>Evaluation of international and regional positions</w:t>
      </w:r>
    </w:p>
    <w:p w14:paraId="6B653B33" w14:textId="77777777" w:rsidR="00AA6B02" w:rsidRPr="00B17FE3" w:rsidRDefault="00AA6B02" w:rsidP="00AA6B02">
      <w:pPr>
        <w:pStyle w:val="Caption"/>
        <w:bidi w:val="0"/>
        <w:rPr>
          <w:rFonts w:asciiTheme="majorBidi" w:hAnsiTheme="majorBidi" w:cstheme="majorBidi"/>
          <w:sz w:val="28"/>
          <w:szCs w:val="28"/>
          <w:rtl/>
          <w:lang w:bidi="ar-JO"/>
        </w:rPr>
      </w:pPr>
    </w:p>
    <w:p w14:paraId="5B20EB55" w14:textId="1F59BF68" w:rsidR="00066DE6" w:rsidRDefault="00066DE6" w:rsidP="00B17FE3">
      <w:pPr>
        <w:spacing w:line="360" w:lineRule="auto"/>
        <w:contextualSpacing/>
        <w:jc w:val="center"/>
        <w:rPr>
          <w:rFonts w:ascii="Times New Roman" w:hAnsi="Times New Roman"/>
          <w:szCs w:val="28"/>
          <w:lang w:val="en-GB" w:bidi="ar-QA"/>
        </w:rPr>
      </w:pPr>
      <w:r>
        <w:rPr>
          <w:noProof/>
        </w:rPr>
        <w:drawing>
          <wp:inline distT="0" distB="0" distL="0" distR="0" wp14:anchorId="1784B552" wp14:editId="3C679CD6">
            <wp:extent cx="5999431" cy="3629465"/>
            <wp:effectExtent l="0" t="0" r="1905" b="0"/>
            <wp:docPr id="381175223" name="Chart 1">
              <a:extLst xmlns:a="http://schemas.openxmlformats.org/drawingml/2006/main">
                <a:ext uri="{FF2B5EF4-FFF2-40B4-BE49-F238E27FC236}">
                  <a16:creationId xmlns:a16="http://schemas.microsoft.com/office/drawing/2014/main" id="{EF032DBC-7F79-9857-26CE-D76F713F3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FABC85" w14:textId="6D769B21" w:rsidR="00C874FB" w:rsidRPr="00B17FE3" w:rsidRDefault="00784C66"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t>In the same context, 7</w:t>
      </w:r>
      <w:r w:rsidR="00A32AB5" w:rsidRPr="00B17FE3">
        <w:rPr>
          <w:rFonts w:asciiTheme="majorBidi" w:hAnsiTheme="majorBidi" w:cstheme="majorBidi"/>
          <w:sz w:val="28"/>
          <w:szCs w:val="28"/>
        </w:rPr>
        <w:t>6</w:t>
      </w:r>
      <w:r w:rsidRPr="00B17FE3">
        <w:rPr>
          <w:rFonts w:asciiTheme="majorBidi" w:hAnsiTheme="majorBidi" w:cstheme="majorBidi"/>
          <w:sz w:val="28"/>
          <w:szCs w:val="28"/>
        </w:rPr>
        <w:t xml:space="preserve">% of </w:t>
      </w:r>
      <w:r w:rsidR="00C874FB" w:rsidRPr="00B17FE3">
        <w:rPr>
          <w:rFonts w:asciiTheme="majorBidi" w:hAnsiTheme="majorBidi" w:cstheme="majorBidi"/>
          <w:sz w:val="28"/>
          <w:szCs w:val="28"/>
        </w:rPr>
        <w:t xml:space="preserve">respondents reported that their </w:t>
      </w:r>
      <w:r w:rsidR="006C54D9" w:rsidRPr="00B17FE3">
        <w:rPr>
          <w:rFonts w:asciiTheme="majorBidi" w:hAnsiTheme="majorBidi" w:cstheme="majorBidi"/>
          <w:sz w:val="28"/>
          <w:szCs w:val="28"/>
        </w:rPr>
        <w:t>position</w:t>
      </w:r>
      <w:r w:rsidR="00C874FB" w:rsidRPr="00B17FE3">
        <w:rPr>
          <w:rFonts w:asciiTheme="majorBidi" w:hAnsiTheme="majorBidi" w:cstheme="majorBidi"/>
          <w:sz w:val="28"/>
          <w:szCs w:val="28"/>
        </w:rPr>
        <w:t xml:space="preserve"> toward the United States following the Israeli war on Gaza had become more negative,</w:t>
      </w:r>
      <w:r w:rsidR="006C54D9" w:rsidRPr="00B17FE3">
        <w:rPr>
          <w:rFonts w:asciiTheme="majorBidi" w:hAnsiTheme="majorBidi" w:cstheme="majorBidi"/>
          <w:sz w:val="28"/>
          <w:szCs w:val="28"/>
        </w:rPr>
        <w:t xml:space="preserve"> indicating that the</w:t>
      </w:r>
      <w:r w:rsidR="00844163" w:rsidRPr="00B17FE3">
        <w:rPr>
          <w:rFonts w:asciiTheme="majorBidi" w:hAnsiTheme="majorBidi" w:cstheme="majorBidi"/>
          <w:sz w:val="28"/>
          <w:szCs w:val="28"/>
        </w:rPr>
        <w:t xml:space="preserve"> Arab public has lost confidence in the US</w:t>
      </w:r>
      <w:r w:rsidR="00C874FB" w:rsidRPr="00B17FE3">
        <w:rPr>
          <w:rFonts w:asciiTheme="majorBidi" w:hAnsiTheme="majorBidi" w:cstheme="majorBidi"/>
          <w:sz w:val="28"/>
          <w:szCs w:val="28"/>
        </w:rPr>
        <w:t>.</w:t>
      </w:r>
      <w:r w:rsidR="00844163" w:rsidRPr="00B17FE3">
        <w:rPr>
          <w:rFonts w:asciiTheme="majorBidi" w:hAnsiTheme="majorBidi" w:cstheme="majorBidi"/>
          <w:sz w:val="28"/>
          <w:szCs w:val="28"/>
        </w:rPr>
        <w:t xml:space="preserve"> Furthermore, respondents demonstrated a near consensus (81%) in their belief that the US government is not serious </w:t>
      </w:r>
      <w:r w:rsidR="00772AF1" w:rsidRPr="00B17FE3">
        <w:rPr>
          <w:rFonts w:asciiTheme="majorBidi" w:hAnsiTheme="majorBidi" w:cstheme="majorBidi"/>
          <w:sz w:val="28"/>
          <w:szCs w:val="28"/>
        </w:rPr>
        <w:t xml:space="preserve">about </w:t>
      </w:r>
      <w:r w:rsidR="00844163" w:rsidRPr="00B17FE3">
        <w:rPr>
          <w:rFonts w:asciiTheme="majorBidi" w:hAnsiTheme="majorBidi" w:cstheme="majorBidi"/>
          <w:sz w:val="28"/>
          <w:szCs w:val="28"/>
        </w:rPr>
        <w:t>working to establish a Palestinian state in the 1967 occupied territories</w:t>
      </w:r>
      <w:r w:rsidR="00F166F0" w:rsidRPr="00B17FE3">
        <w:rPr>
          <w:rFonts w:asciiTheme="majorBidi" w:hAnsiTheme="majorBidi" w:cstheme="majorBidi"/>
          <w:sz w:val="28"/>
          <w:szCs w:val="28"/>
        </w:rPr>
        <w:t xml:space="preserve"> </w:t>
      </w:r>
      <w:r w:rsidR="0059469C" w:rsidRPr="00B17FE3">
        <w:rPr>
          <w:rFonts w:asciiTheme="majorBidi" w:hAnsiTheme="majorBidi" w:cstheme="majorBidi"/>
          <w:sz w:val="28"/>
          <w:szCs w:val="28"/>
        </w:rPr>
        <w:t>(The West Bank, Jerusalem, and Gaza)</w:t>
      </w:r>
      <w:r w:rsidR="00844163" w:rsidRPr="00B17FE3">
        <w:rPr>
          <w:rFonts w:asciiTheme="majorBidi" w:hAnsiTheme="majorBidi" w:cstheme="majorBidi"/>
          <w:sz w:val="28"/>
          <w:szCs w:val="28"/>
        </w:rPr>
        <w:t>.</w:t>
      </w:r>
      <w:r w:rsidR="0059469C" w:rsidRPr="00B17FE3">
        <w:rPr>
          <w:rFonts w:asciiTheme="majorBidi" w:hAnsiTheme="majorBidi" w:cstheme="majorBidi"/>
          <w:sz w:val="28"/>
          <w:szCs w:val="28"/>
        </w:rPr>
        <w:t xml:space="preserve"> </w:t>
      </w:r>
    </w:p>
    <w:p w14:paraId="355AE3F1" w14:textId="6B9A4417" w:rsidR="00C16CEB" w:rsidRPr="00B17FE3" w:rsidRDefault="00C16CEB"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t xml:space="preserve">About 77% of respondents named the United States </w:t>
      </w:r>
      <w:r w:rsidR="002250F1" w:rsidRPr="00B17FE3">
        <w:rPr>
          <w:rFonts w:asciiTheme="majorBidi" w:hAnsiTheme="majorBidi" w:cstheme="majorBidi"/>
          <w:sz w:val="28"/>
          <w:szCs w:val="28"/>
        </w:rPr>
        <w:t xml:space="preserve">and </w:t>
      </w:r>
      <w:r w:rsidRPr="00B17FE3">
        <w:rPr>
          <w:rFonts w:asciiTheme="majorBidi" w:hAnsiTheme="majorBidi" w:cstheme="majorBidi"/>
          <w:sz w:val="28"/>
          <w:szCs w:val="28"/>
        </w:rPr>
        <w:t xml:space="preserve">Israel as </w:t>
      </w:r>
      <w:r w:rsidR="00271BD0">
        <w:rPr>
          <w:rFonts w:asciiTheme="majorBidi" w:hAnsiTheme="majorBidi" w:cstheme="majorBidi"/>
          <w:sz w:val="28"/>
          <w:szCs w:val="28"/>
        </w:rPr>
        <w:t xml:space="preserve">the biggest </w:t>
      </w:r>
      <w:r w:rsidRPr="00B17FE3">
        <w:rPr>
          <w:rFonts w:asciiTheme="majorBidi" w:hAnsiTheme="majorBidi" w:cstheme="majorBidi"/>
          <w:sz w:val="28"/>
          <w:szCs w:val="28"/>
        </w:rPr>
        <w:t>threat</w:t>
      </w:r>
      <w:r w:rsidR="002250F1" w:rsidRPr="00B17FE3">
        <w:rPr>
          <w:rFonts w:asciiTheme="majorBidi" w:hAnsiTheme="majorBidi" w:cstheme="majorBidi"/>
          <w:sz w:val="28"/>
          <w:szCs w:val="28"/>
        </w:rPr>
        <w:t xml:space="preserve"> </w:t>
      </w:r>
      <w:r w:rsidRPr="00B17FE3">
        <w:rPr>
          <w:rFonts w:asciiTheme="majorBidi" w:hAnsiTheme="majorBidi" w:cstheme="majorBidi"/>
          <w:sz w:val="28"/>
          <w:szCs w:val="28"/>
        </w:rPr>
        <w:t xml:space="preserve">to the security and stability of the region. While 51% saw the United States as the most threatening, 26% </w:t>
      </w:r>
      <w:r w:rsidR="002B009A" w:rsidRPr="00B17FE3">
        <w:rPr>
          <w:rFonts w:asciiTheme="majorBidi" w:hAnsiTheme="majorBidi" w:cstheme="majorBidi"/>
          <w:sz w:val="28"/>
          <w:szCs w:val="28"/>
        </w:rPr>
        <w:t>considered the biggest threat to be Israel</w:t>
      </w:r>
      <w:r w:rsidRPr="00B17FE3">
        <w:rPr>
          <w:rFonts w:asciiTheme="majorBidi" w:hAnsiTheme="majorBidi" w:cstheme="majorBidi"/>
          <w:sz w:val="28"/>
          <w:szCs w:val="28"/>
        </w:rPr>
        <w:t xml:space="preserve">. </w:t>
      </w:r>
      <w:r w:rsidR="00772AF1" w:rsidRPr="00B17FE3">
        <w:rPr>
          <w:rFonts w:asciiTheme="majorBidi" w:hAnsiTheme="majorBidi" w:cstheme="majorBidi"/>
          <w:sz w:val="28"/>
          <w:szCs w:val="28"/>
        </w:rPr>
        <w:t>W</w:t>
      </w:r>
      <w:r w:rsidR="002B009A" w:rsidRPr="00B17FE3">
        <w:rPr>
          <w:rFonts w:asciiTheme="majorBidi" w:hAnsiTheme="majorBidi" w:cstheme="majorBidi"/>
          <w:sz w:val="28"/>
          <w:szCs w:val="28"/>
        </w:rPr>
        <w:t xml:space="preserve">hile </w:t>
      </w:r>
      <w:r w:rsidRPr="00B17FE3">
        <w:rPr>
          <w:rFonts w:asciiTheme="majorBidi" w:hAnsiTheme="majorBidi" w:cstheme="majorBidi"/>
          <w:sz w:val="28"/>
          <w:szCs w:val="28"/>
        </w:rPr>
        <w:t xml:space="preserve">82% of respondents reported that </w:t>
      </w:r>
      <w:r w:rsidR="002B009A" w:rsidRPr="00B17FE3">
        <w:rPr>
          <w:rFonts w:asciiTheme="majorBidi" w:hAnsiTheme="majorBidi" w:cstheme="majorBidi"/>
          <w:sz w:val="28"/>
          <w:szCs w:val="28"/>
        </w:rPr>
        <w:t>US media coverage of the war</w:t>
      </w:r>
      <w:r w:rsidRPr="00B17FE3">
        <w:rPr>
          <w:rFonts w:asciiTheme="majorBidi" w:hAnsiTheme="majorBidi" w:cstheme="majorBidi"/>
          <w:sz w:val="28"/>
          <w:szCs w:val="28"/>
        </w:rPr>
        <w:t xml:space="preserve"> was biased towards Israel, only 7% saw it as neutral.</w:t>
      </w:r>
    </w:p>
    <w:p w14:paraId="199CC912" w14:textId="137CCFDE" w:rsidR="00784C66" w:rsidRPr="00B17FE3" w:rsidRDefault="00784C66" w:rsidP="00AA6B02">
      <w:pPr>
        <w:bidi w:val="0"/>
        <w:spacing w:line="360" w:lineRule="auto"/>
        <w:contextualSpacing/>
        <w:rPr>
          <w:rFonts w:asciiTheme="majorBidi" w:hAnsiTheme="majorBidi" w:cstheme="majorBidi"/>
          <w:szCs w:val="28"/>
          <w:lang w:val="en-GB" w:bidi="ar-QA"/>
        </w:rPr>
      </w:pPr>
    </w:p>
    <w:p w14:paraId="1356E6A0" w14:textId="77777777" w:rsidR="00C06E40" w:rsidRPr="00B17FE3" w:rsidRDefault="00C06E40" w:rsidP="00C06E40">
      <w:pPr>
        <w:jc w:val="center"/>
        <w:rPr>
          <w:rFonts w:asciiTheme="majorBidi" w:hAnsiTheme="majorBidi" w:cstheme="majorBidi"/>
          <w:b/>
          <w:bCs/>
          <w:szCs w:val="28"/>
          <w:rtl/>
          <w:lang w:bidi="ar-QA"/>
        </w:rPr>
      </w:pPr>
      <w:r w:rsidRPr="00B17FE3">
        <w:rPr>
          <w:rFonts w:asciiTheme="majorBidi" w:hAnsiTheme="majorBidi" w:cstheme="majorBidi"/>
          <w:b/>
          <w:bCs/>
          <w:szCs w:val="28"/>
          <w:lang w:bidi="ar-QA"/>
        </w:rPr>
        <w:t xml:space="preserve">How opinion on US policy in the Arab region has changed since the war on </w:t>
      </w:r>
      <w:proofErr w:type="gramStart"/>
      <w:r w:rsidRPr="00B17FE3">
        <w:rPr>
          <w:rFonts w:asciiTheme="majorBidi" w:hAnsiTheme="majorBidi" w:cstheme="majorBidi"/>
          <w:b/>
          <w:bCs/>
          <w:szCs w:val="28"/>
          <w:lang w:bidi="ar-QA"/>
        </w:rPr>
        <w:t>Gaza</w:t>
      </w:r>
      <w:proofErr w:type="gramEnd"/>
    </w:p>
    <w:p w14:paraId="5BB9FBF3" w14:textId="5110A969" w:rsidR="00ED62FB" w:rsidRPr="003666B8" w:rsidRDefault="00C05E86" w:rsidP="00B17FE3">
      <w:pPr>
        <w:jc w:val="center"/>
        <w:rPr>
          <w:rFonts w:ascii="Times New Roman" w:hAnsi="Times New Roman"/>
          <w:szCs w:val="28"/>
          <w:rtl/>
          <w:lang w:val="en-GB" w:bidi="ar-QA"/>
        </w:rPr>
      </w:pPr>
      <w:r>
        <w:rPr>
          <w:noProof/>
        </w:rPr>
        <w:lastRenderedPageBreak/>
        <w:drawing>
          <wp:inline distT="0" distB="0" distL="0" distR="0" wp14:anchorId="0E612A1E" wp14:editId="5E4002E1">
            <wp:extent cx="5040630" cy="3892550"/>
            <wp:effectExtent l="0" t="0" r="7620" b="0"/>
            <wp:docPr id="1855402620" name="Chart 1">
              <a:extLst xmlns:a="http://schemas.openxmlformats.org/drawingml/2006/main">
                <a:ext uri="{FF2B5EF4-FFF2-40B4-BE49-F238E27FC236}">
                  <a16:creationId xmlns:a16="http://schemas.microsoft.com/office/drawing/2014/main" id="{10C725D2-9CEF-2891-D139-B6936F7A1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24BA85" w14:textId="77777777" w:rsidR="003C32BF" w:rsidRPr="00B17FE3" w:rsidRDefault="003C32BF" w:rsidP="003C32BF">
      <w:pPr>
        <w:jc w:val="center"/>
        <w:rPr>
          <w:rFonts w:asciiTheme="majorBidi" w:hAnsiTheme="majorBidi" w:cstheme="majorBidi"/>
          <w:b/>
          <w:bCs/>
          <w:szCs w:val="28"/>
          <w:lang w:bidi="ar-QA"/>
        </w:rPr>
      </w:pPr>
      <w:r w:rsidRPr="00B17FE3">
        <w:rPr>
          <w:rFonts w:asciiTheme="majorBidi" w:hAnsiTheme="majorBidi" w:cstheme="majorBidi"/>
          <w:b/>
          <w:bCs/>
          <w:szCs w:val="28"/>
          <w:lang w:bidi="ar-QA"/>
        </w:rPr>
        <w:t xml:space="preserve">Evaluation of US seriousness in establishing a Palestinian state in the 1967 Occupied Palestinian </w:t>
      </w:r>
      <w:proofErr w:type="gramStart"/>
      <w:r w:rsidRPr="00B17FE3">
        <w:rPr>
          <w:rFonts w:asciiTheme="majorBidi" w:hAnsiTheme="majorBidi" w:cstheme="majorBidi"/>
          <w:b/>
          <w:bCs/>
          <w:szCs w:val="28"/>
          <w:lang w:bidi="ar-QA"/>
        </w:rPr>
        <w:t>lands</w:t>
      </w:r>
      <w:proofErr w:type="gramEnd"/>
    </w:p>
    <w:p w14:paraId="2263BB73" w14:textId="073FF691" w:rsidR="002E6AE3" w:rsidRPr="003666B8" w:rsidRDefault="00325641" w:rsidP="00B17FE3">
      <w:pPr>
        <w:spacing w:line="360" w:lineRule="auto"/>
        <w:jc w:val="center"/>
        <w:rPr>
          <w:rFonts w:ascii="Times New Roman" w:hAnsi="Times New Roman"/>
          <w:szCs w:val="28"/>
          <w:rtl/>
          <w:lang w:val="en-GB" w:bidi="ar-QA"/>
        </w:rPr>
      </w:pPr>
      <w:r>
        <w:rPr>
          <w:noProof/>
        </w:rPr>
        <w:drawing>
          <wp:inline distT="0" distB="0" distL="0" distR="0" wp14:anchorId="17AA5257" wp14:editId="293E96DC">
            <wp:extent cx="5346700" cy="3924300"/>
            <wp:effectExtent l="0" t="0" r="6350" b="0"/>
            <wp:docPr id="1322944373" name="Chart 1">
              <a:extLst xmlns:a="http://schemas.openxmlformats.org/drawingml/2006/main">
                <a:ext uri="{FF2B5EF4-FFF2-40B4-BE49-F238E27FC236}">
                  <a16:creationId xmlns:a16="http://schemas.microsoft.com/office/drawing/2014/main" id="{511CE00E-8532-0FDC-BADE-F40FAEE1E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B4D8B8" w14:textId="77777777" w:rsidR="00481ED7" w:rsidRPr="00B27024" w:rsidRDefault="00481ED7" w:rsidP="00481ED7">
      <w:pPr>
        <w:jc w:val="center"/>
        <w:rPr>
          <w:rFonts w:ascii="Times New Roman" w:hAnsi="Times New Roman"/>
          <w:b/>
          <w:bCs/>
          <w:szCs w:val="28"/>
          <w:rtl/>
          <w:lang w:bidi="ar-QA"/>
        </w:rPr>
      </w:pPr>
      <w:r>
        <w:rPr>
          <w:rFonts w:ascii="Times New Roman" w:hAnsi="Times New Roman"/>
          <w:b/>
          <w:bCs/>
          <w:szCs w:val="28"/>
          <w:lang w:bidi="ar-QA"/>
        </w:rPr>
        <w:lastRenderedPageBreak/>
        <w:t>Biggest threats to the peace and stability of the region</w:t>
      </w:r>
    </w:p>
    <w:tbl>
      <w:tblPr>
        <w:tblpPr w:leftFromText="180" w:rightFromText="180" w:vertAnchor="text" w:tblpXSpec="center" w:tblpY="1"/>
        <w:tblOverlap w:val="never"/>
        <w:tblW w:w="10961" w:type="dxa"/>
        <w:tblLook w:val="04A0" w:firstRow="1" w:lastRow="0" w:firstColumn="1" w:lastColumn="0" w:noHBand="0" w:noVBand="1"/>
      </w:tblPr>
      <w:tblGrid>
        <w:gridCol w:w="2264"/>
        <w:gridCol w:w="941"/>
        <w:gridCol w:w="941"/>
        <w:gridCol w:w="941"/>
        <w:gridCol w:w="945"/>
        <w:gridCol w:w="941"/>
        <w:gridCol w:w="941"/>
        <w:gridCol w:w="1137"/>
        <w:gridCol w:w="1910"/>
      </w:tblGrid>
      <w:tr w:rsidR="0022376B" w:rsidRPr="00223B08" w14:paraId="509C42F6" w14:textId="77777777" w:rsidTr="0022376B">
        <w:trPr>
          <w:trHeight w:val="324"/>
        </w:trPr>
        <w:tc>
          <w:tcPr>
            <w:tcW w:w="2264" w:type="dxa"/>
            <w:vMerge w:val="restart"/>
            <w:tcBorders>
              <w:top w:val="single" w:sz="4" w:space="0" w:color="auto"/>
              <w:right w:val="single" w:sz="4" w:space="0" w:color="auto"/>
            </w:tcBorders>
            <w:shd w:val="clear" w:color="auto" w:fill="F2F2F2" w:themeFill="background1" w:themeFillShade="F2"/>
            <w:noWrap/>
            <w:vAlign w:val="bottom"/>
            <w:hideMark/>
          </w:tcPr>
          <w:p w14:paraId="12CB3895" w14:textId="77777777" w:rsidR="0022376B" w:rsidRPr="00223B08" w:rsidRDefault="0022376B" w:rsidP="0022376B">
            <w:pPr>
              <w:bidi w:val="0"/>
              <w:spacing w:after="0" w:line="240" w:lineRule="auto"/>
              <w:rPr>
                <w:rFonts w:ascii="Calibri" w:eastAsia="Times New Roman" w:hAnsi="Calibri" w:cs="Calibri"/>
                <w:color w:val="000000"/>
              </w:rPr>
            </w:pPr>
            <w:r w:rsidRPr="00223B08">
              <w:rPr>
                <w:rFonts w:ascii="Calibri" w:eastAsia="Times New Roman" w:hAnsi="Calibri" w:cs="Calibri"/>
                <w:color w:val="000000"/>
              </w:rPr>
              <w:t> </w:t>
            </w:r>
          </w:p>
          <w:p w14:paraId="3179B81F" w14:textId="19465D36" w:rsidR="0022376B" w:rsidRPr="00223B08" w:rsidRDefault="0022376B" w:rsidP="003D0201">
            <w:pPr>
              <w:bidi w:val="0"/>
              <w:spacing w:after="0" w:line="240" w:lineRule="auto"/>
              <w:rPr>
                <w:rFonts w:ascii="Calibri" w:eastAsia="Times New Roman" w:hAnsi="Calibri" w:cs="Calibri"/>
                <w:color w:val="000000"/>
              </w:rPr>
            </w:pPr>
            <w:r w:rsidRPr="00223B08">
              <w:rPr>
                <w:rFonts w:ascii="Calibri" w:eastAsia="Times New Roman" w:hAnsi="Calibri" w:cs="Calibri"/>
                <w:color w:val="000000"/>
              </w:rPr>
              <w:t> </w:t>
            </w:r>
          </w:p>
        </w:tc>
        <w:tc>
          <w:tcPr>
            <w:tcW w:w="37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993B3B"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Greatest Threat</w:t>
            </w:r>
          </w:p>
        </w:tc>
        <w:tc>
          <w:tcPr>
            <w:tcW w:w="4929" w:type="dxa"/>
            <w:gridSpan w:val="4"/>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282023B"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Second Greatest Threat</w:t>
            </w:r>
          </w:p>
        </w:tc>
      </w:tr>
      <w:tr w:rsidR="0022376B" w:rsidRPr="00223B08" w14:paraId="65F3AD11" w14:textId="77777777" w:rsidTr="0022376B">
        <w:trPr>
          <w:trHeight w:val="650"/>
        </w:trPr>
        <w:tc>
          <w:tcPr>
            <w:tcW w:w="2264" w:type="dxa"/>
            <w:vMerge/>
            <w:tcBorders>
              <w:bottom w:val="single" w:sz="4" w:space="0" w:color="auto"/>
              <w:right w:val="single" w:sz="4" w:space="0" w:color="auto"/>
            </w:tcBorders>
            <w:shd w:val="clear" w:color="auto" w:fill="F2F2F2" w:themeFill="background1" w:themeFillShade="F2"/>
            <w:noWrap/>
            <w:vAlign w:val="bottom"/>
            <w:hideMark/>
          </w:tcPr>
          <w:p w14:paraId="15C1B3AF" w14:textId="20320150" w:rsidR="0022376B" w:rsidRPr="00223B08" w:rsidRDefault="0022376B" w:rsidP="0022376B">
            <w:pPr>
              <w:bidi w:val="0"/>
              <w:spacing w:after="0" w:line="240" w:lineRule="auto"/>
              <w:rPr>
                <w:rFonts w:ascii="Calibri" w:eastAsia="Times New Roman" w:hAnsi="Calibri" w:cs="Calibri"/>
                <w:color w:val="000000"/>
              </w:rPr>
            </w:pPr>
          </w:p>
        </w:tc>
        <w:tc>
          <w:tcPr>
            <w:tcW w:w="9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1702A9"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Gaza war</w:t>
            </w:r>
          </w:p>
        </w:tc>
        <w:tc>
          <w:tcPr>
            <w:tcW w:w="94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CDEF2D"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2022</w:t>
            </w:r>
          </w:p>
        </w:tc>
        <w:tc>
          <w:tcPr>
            <w:tcW w:w="94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5D6CC3"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2020</w:t>
            </w:r>
          </w:p>
        </w:tc>
        <w:tc>
          <w:tcPr>
            <w:tcW w:w="94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223F64"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2018</w:t>
            </w:r>
          </w:p>
        </w:tc>
        <w:tc>
          <w:tcPr>
            <w:tcW w:w="9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EE6D543"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Gaza War</w:t>
            </w:r>
          </w:p>
        </w:tc>
        <w:tc>
          <w:tcPr>
            <w:tcW w:w="94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9067CC"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2022</w:t>
            </w:r>
          </w:p>
        </w:tc>
        <w:tc>
          <w:tcPr>
            <w:tcW w:w="113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EACBB6"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2020</w:t>
            </w:r>
          </w:p>
        </w:tc>
        <w:tc>
          <w:tcPr>
            <w:tcW w:w="1910" w:type="dxa"/>
            <w:tcBorders>
              <w:top w:val="nil"/>
              <w:left w:val="single" w:sz="4" w:space="0" w:color="auto"/>
              <w:bottom w:val="single" w:sz="4" w:space="0" w:color="auto"/>
            </w:tcBorders>
            <w:shd w:val="clear" w:color="auto" w:fill="F2F2F2" w:themeFill="background1" w:themeFillShade="F2"/>
            <w:vAlign w:val="center"/>
            <w:hideMark/>
          </w:tcPr>
          <w:p w14:paraId="3895CD59" w14:textId="77777777" w:rsidR="0022376B" w:rsidRPr="00223B08" w:rsidRDefault="0022376B" w:rsidP="0022376B">
            <w:pPr>
              <w:bidi w:val="0"/>
              <w:spacing w:after="0" w:line="240" w:lineRule="auto"/>
              <w:jc w:val="center"/>
              <w:rPr>
                <w:rFonts w:ascii="Calibri" w:eastAsia="Times New Roman" w:hAnsi="Calibri" w:cs="Calibri"/>
                <w:color w:val="000000"/>
              </w:rPr>
            </w:pPr>
            <w:r w:rsidRPr="00223B08">
              <w:rPr>
                <w:rFonts w:ascii="Calibri" w:eastAsia="Times New Roman" w:hAnsi="Calibri" w:cs="Calibri"/>
                <w:color w:val="000000"/>
              </w:rPr>
              <w:t>2018</w:t>
            </w:r>
          </w:p>
        </w:tc>
      </w:tr>
      <w:tr w:rsidR="00C74FB6" w:rsidRPr="00223B08" w14:paraId="53B68634"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504347EE"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United States</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02B5EBC"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51</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5ADE340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39</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197DDECF"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44</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0CD979E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43</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E25559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25</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950C20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25</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A2FF695"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23</w:t>
            </w:r>
          </w:p>
        </w:tc>
        <w:tc>
          <w:tcPr>
            <w:tcW w:w="1910" w:type="dxa"/>
            <w:tcBorders>
              <w:top w:val="nil"/>
              <w:left w:val="single" w:sz="4" w:space="0" w:color="auto"/>
              <w:bottom w:val="single" w:sz="4" w:space="0" w:color="auto"/>
            </w:tcBorders>
            <w:shd w:val="clear" w:color="auto" w:fill="auto"/>
            <w:vAlign w:val="center"/>
            <w:hideMark/>
          </w:tcPr>
          <w:p w14:paraId="5D1397E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28</w:t>
            </w:r>
          </w:p>
        </w:tc>
      </w:tr>
      <w:tr w:rsidR="00C74FB6" w:rsidRPr="00223B08" w14:paraId="04B6B6E5"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1C474F36"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Israel</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76B687AE"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26</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53801FD6"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41</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755237DF"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37</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6E364BC3"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37</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4056B75"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33</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EF8257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28</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20C24EC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38</w:t>
            </w:r>
          </w:p>
        </w:tc>
        <w:tc>
          <w:tcPr>
            <w:tcW w:w="1910" w:type="dxa"/>
            <w:tcBorders>
              <w:top w:val="nil"/>
              <w:left w:val="single" w:sz="4" w:space="0" w:color="auto"/>
              <w:bottom w:val="single" w:sz="4" w:space="0" w:color="auto"/>
            </w:tcBorders>
            <w:shd w:val="clear" w:color="auto" w:fill="auto"/>
            <w:vAlign w:val="center"/>
            <w:hideMark/>
          </w:tcPr>
          <w:p w14:paraId="5953F3A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40</w:t>
            </w:r>
          </w:p>
        </w:tc>
      </w:tr>
      <w:tr w:rsidR="00C74FB6" w:rsidRPr="00223B08" w14:paraId="676118D0"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70931A46"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Iran</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663DA47"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7</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FB9B08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7</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21B629F9"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10</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647503C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13</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781DFC3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10</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3160F863"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13</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7025A8EE"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19</w:t>
            </w:r>
          </w:p>
        </w:tc>
        <w:tc>
          <w:tcPr>
            <w:tcW w:w="1910" w:type="dxa"/>
            <w:tcBorders>
              <w:top w:val="nil"/>
              <w:left w:val="single" w:sz="4" w:space="0" w:color="auto"/>
              <w:bottom w:val="single" w:sz="4" w:space="0" w:color="auto"/>
            </w:tcBorders>
            <w:shd w:val="clear" w:color="auto" w:fill="auto"/>
            <w:vAlign w:val="center"/>
            <w:hideMark/>
          </w:tcPr>
          <w:p w14:paraId="6FCEB0CA"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15</w:t>
            </w:r>
          </w:p>
        </w:tc>
      </w:tr>
      <w:tr w:rsidR="00C74FB6" w:rsidRPr="00223B08" w14:paraId="6B45F17A"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1301BEE7"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Russia</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5056781"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4</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7B60938E"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6</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309AAA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64E5342A"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80F2B7D"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8</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09043A66"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8</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0241025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4</w:t>
            </w:r>
          </w:p>
        </w:tc>
        <w:tc>
          <w:tcPr>
            <w:tcW w:w="1910" w:type="dxa"/>
            <w:tcBorders>
              <w:top w:val="nil"/>
              <w:left w:val="single" w:sz="4" w:space="0" w:color="auto"/>
              <w:bottom w:val="single" w:sz="4" w:space="0" w:color="auto"/>
            </w:tcBorders>
            <w:shd w:val="clear" w:color="auto" w:fill="auto"/>
            <w:vAlign w:val="center"/>
            <w:hideMark/>
          </w:tcPr>
          <w:p w14:paraId="1302BE29"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7</w:t>
            </w:r>
          </w:p>
        </w:tc>
      </w:tr>
      <w:tr w:rsidR="00C74FB6" w:rsidRPr="00223B08" w14:paraId="77934F3E"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754DCA35"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France</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4533AE1"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806ABA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2F4A87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3EEFEC45"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1547E36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10</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01EB426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5</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95E4EE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w:t>
            </w:r>
          </w:p>
        </w:tc>
        <w:tc>
          <w:tcPr>
            <w:tcW w:w="1910" w:type="dxa"/>
            <w:tcBorders>
              <w:top w:val="nil"/>
              <w:left w:val="single" w:sz="4" w:space="0" w:color="auto"/>
              <w:bottom w:val="single" w:sz="4" w:space="0" w:color="auto"/>
            </w:tcBorders>
            <w:shd w:val="clear" w:color="auto" w:fill="auto"/>
            <w:vAlign w:val="center"/>
            <w:hideMark/>
          </w:tcPr>
          <w:p w14:paraId="7206526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w:t>
            </w:r>
          </w:p>
        </w:tc>
      </w:tr>
      <w:tr w:rsidR="00C74FB6" w:rsidRPr="00223B08" w14:paraId="3B5A011D"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6953EF0A"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Turkey</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40633AA"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0CF8E33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331826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5D63B56D"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5340FE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3</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4953140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1334BEE5"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5</w:t>
            </w:r>
          </w:p>
        </w:tc>
        <w:tc>
          <w:tcPr>
            <w:tcW w:w="1910" w:type="dxa"/>
            <w:tcBorders>
              <w:top w:val="nil"/>
              <w:left w:val="single" w:sz="4" w:space="0" w:color="auto"/>
              <w:bottom w:val="single" w:sz="4" w:space="0" w:color="auto"/>
            </w:tcBorders>
            <w:shd w:val="clear" w:color="auto" w:fill="auto"/>
            <w:vAlign w:val="center"/>
            <w:hideMark/>
          </w:tcPr>
          <w:p w14:paraId="698C02F3"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r>
      <w:tr w:rsidR="00C74FB6" w:rsidRPr="00223B08" w14:paraId="21DA9621"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06E99167"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China</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97BC40E"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1</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2C1D2A4C"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75EC7DF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0CA8B30A"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EE93F81"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15360C89"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558BA0FC"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1910" w:type="dxa"/>
            <w:tcBorders>
              <w:top w:val="nil"/>
              <w:left w:val="single" w:sz="4" w:space="0" w:color="auto"/>
              <w:bottom w:val="single" w:sz="4" w:space="0" w:color="auto"/>
            </w:tcBorders>
            <w:shd w:val="clear" w:color="auto" w:fill="auto"/>
            <w:vAlign w:val="center"/>
            <w:hideMark/>
          </w:tcPr>
          <w:p w14:paraId="68ABCCBE"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0</w:t>
            </w:r>
          </w:p>
        </w:tc>
      </w:tr>
      <w:tr w:rsidR="00C74FB6" w:rsidRPr="00223B08" w14:paraId="21C8C534"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59BE2230"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Other</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E328019"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1</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2269382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399C917A"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4685D69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1785BCC4"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00A76C3F"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1F0537A"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1910" w:type="dxa"/>
            <w:tcBorders>
              <w:top w:val="nil"/>
              <w:left w:val="single" w:sz="4" w:space="0" w:color="auto"/>
              <w:bottom w:val="single" w:sz="4" w:space="0" w:color="auto"/>
            </w:tcBorders>
            <w:shd w:val="clear" w:color="auto" w:fill="auto"/>
            <w:vAlign w:val="center"/>
            <w:hideMark/>
          </w:tcPr>
          <w:p w14:paraId="6BBF37B3"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r>
      <w:tr w:rsidR="00C74FB6" w:rsidRPr="00223B08" w14:paraId="06B4B553"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2E421ECE"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Don't know / Declined to answer</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9A4802E"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6</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76D63927"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135B8236"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389EFA9B"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2</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4600CD7F"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0</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27D85C07"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24F38AF"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1910" w:type="dxa"/>
            <w:tcBorders>
              <w:top w:val="nil"/>
              <w:left w:val="single" w:sz="4" w:space="0" w:color="auto"/>
              <w:bottom w:val="single" w:sz="4" w:space="0" w:color="auto"/>
            </w:tcBorders>
            <w:shd w:val="clear" w:color="auto" w:fill="auto"/>
            <w:vAlign w:val="center"/>
            <w:hideMark/>
          </w:tcPr>
          <w:p w14:paraId="243E57A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r>
      <w:tr w:rsidR="00C74FB6" w:rsidRPr="00223B08" w14:paraId="1EFE7BA8"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5D9CF1F7"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No second option</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8FB6F23" w14:textId="77777777" w:rsidR="00C74FB6" w:rsidRPr="00B17FE3" w:rsidRDefault="00C74FB6" w:rsidP="0022376B">
            <w:pPr>
              <w:bidi w:val="0"/>
              <w:spacing w:after="0" w:line="240" w:lineRule="auto"/>
              <w:jc w:val="center"/>
              <w:rPr>
                <w:rFonts w:asciiTheme="minorHAnsi" w:eastAsia="Times New Roman" w:hAnsiTheme="minorHAnsi" w:cs="Times New Roman"/>
                <w:color w:val="000000"/>
                <w:sz w:val="18"/>
                <w:szCs w:val="18"/>
                <w:rtl/>
              </w:rPr>
            </w:pPr>
            <w:r w:rsidRPr="00B17FE3">
              <w:rPr>
                <w:rFonts w:asciiTheme="minorHAnsi" w:eastAsia="Times New Roman" w:hAnsiTheme="minorHAnsi" w:cstheme="minorHAnsi"/>
                <w:color w:val="000000"/>
                <w:sz w:val="18"/>
                <w:szCs w:val="18"/>
              </w:rPr>
              <w:t>0</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10E38CD3"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049E3ED7"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5" w:type="dxa"/>
            <w:tcBorders>
              <w:top w:val="nil"/>
              <w:left w:val="single" w:sz="4" w:space="0" w:color="auto"/>
              <w:bottom w:val="single" w:sz="4" w:space="0" w:color="auto"/>
              <w:right w:val="single" w:sz="4" w:space="0" w:color="auto"/>
            </w:tcBorders>
            <w:shd w:val="clear" w:color="auto" w:fill="auto"/>
            <w:vAlign w:val="center"/>
            <w:hideMark/>
          </w:tcPr>
          <w:p w14:paraId="45DD7CD2"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D0A5F67"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7</w:t>
            </w:r>
          </w:p>
        </w:tc>
        <w:tc>
          <w:tcPr>
            <w:tcW w:w="941" w:type="dxa"/>
            <w:tcBorders>
              <w:top w:val="nil"/>
              <w:left w:val="single" w:sz="4" w:space="0" w:color="auto"/>
              <w:bottom w:val="single" w:sz="4" w:space="0" w:color="auto"/>
              <w:right w:val="single" w:sz="4" w:space="0" w:color="auto"/>
            </w:tcBorders>
            <w:shd w:val="clear" w:color="auto" w:fill="auto"/>
            <w:vAlign w:val="center"/>
            <w:hideMark/>
          </w:tcPr>
          <w:p w14:paraId="71FAC775"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17</w:t>
            </w:r>
          </w:p>
        </w:tc>
        <w:tc>
          <w:tcPr>
            <w:tcW w:w="1137" w:type="dxa"/>
            <w:tcBorders>
              <w:top w:val="nil"/>
              <w:left w:val="single" w:sz="4" w:space="0" w:color="auto"/>
              <w:bottom w:val="single" w:sz="4" w:space="0" w:color="auto"/>
              <w:right w:val="single" w:sz="4" w:space="0" w:color="auto"/>
            </w:tcBorders>
            <w:shd w:val="clear" w:color="auto" w:fill="auto"/>
            <w:vAlign w:val="center"/>
            <w:hideMark/>
          </w:tcPr>
          <w:p w14:paraId="3CC2D9ED"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6</w:t>
            </w:r>
          </w:p>
        </w:tc>
        <w:tc>
          <w:tcPr>
            <w:tcW w:w="1910" w:type="dxa"/>
            <w:tcBorders>
              <w:top w:val="nil"/>
              <w:left w:val="single" w:sz="4" w:space="0" w:color="auto"/>
              <w:bottom w:val="single" w:sz="4" w:space="0" w:color="auto"/>
            </w:tcBorders>
            <w:shd w:val="clear" w:color="auto" w:fill="auto"/>
            <w:vAlign w:val="center"/>
            <w:hideMark/>
          </w:tcPr>
          <w:p w14:paraId="1A2F2DD8" w14:textId="77777777" w:rsidR="00C74FB6" w:rsidRPr="00B17FE3" w:rsidRDefault="00C74FB6" w:rsidP="0022376B">
            <w:pPr>
              <w:bidi w:val="0"/>
              <w:spacing w:after="0" w:line="240" w:lineRule="auto"/>
              <w:jc w:val="center"/>
              <w:rPr>
                <w:rFonts w:asciiTheme="minorHAnsi" w:eastAsia="Times New Roman" w:hAnsiTheme="minorHAnsi" w:cstheme="minorHAnsi"/>
                <w:color w:val="000000"/>
                <w:sz w:val="18"/>
                <w:szCs w:val="18"/>
              </w:rPr>
            </w:pPr>
            <w:r w:rsidRPr="00B17FE3">
              <w:rPr>
                <w:rFonts w:asciiTheme="minorHAnsi" w:eastAsia="Times New Roman" w:hAnsiTheme="minorHAnsi" w:cstheme="minorHAnsi"/>
                <w:color w:val="000000"/>
                <w:sz w:val="18"/>
                <w:szCs w:val="18"/>
              </w:rPr>
              <w:t>7</w:t>
            </w:r>
          </w:p>
        </w:tc>
      </w:tr>
      <w:tr w:rsidR="00C74FB6" w:rsidRPr="00223B08" w14:paraId="35EB6677" w14:textId="77777777" w:rsidTr="0022376B">
        <w:trPr>
          <w:trHeight w:val="324"/>
        </w:trPr>
        <w:tc>
          <w:tcPr>
            <w:tcW w:w="2264" w:type="dxa"/>
            <w:tcBorders>
              <w:top w:val="nil"/>
              <w:bottom w:val="single" w:sz="4" w:space="0" w:color="auto"/>
              <w:right w:val="single" w:sz="4" w:space="0" w:color="auto"/>
            </w:tcBorders>
            <w:shd w:val="clear" w:color="auto" w:fill="auto"/>
            <w:vAlign w:val="center"/>
            <w:hideMark/>
          </w:tcPr>
          <w:p w14:paraId="23DA9AC0" w14:textId="77777777" w:rsidR="00C74FB6" w:rsidRPr="00223B08" w:rsidRDefault="00C74FB6" w:rsidP="0022376B">
            <w:pPr>
              <w:spacing w:after="0" w:line="240" w:lineRule="auto"/>
              <w:jc w:val="right"/>
              <w:rPr>
                <w:rFonts w:ascii="Arial" w:eastAsia="Times New Roman" w:hAnsi="Arial" w:cs="Arial"/>
                <w:color w:val="000000"/>
                <w:sz w:val="18"/>
                <w:szCs w:val="18"/>
              </w:rPr>
            </w:pPr>
            <w:r w:rsidRPr="00223B08">
              <w:rPr>
                <w:rFonts w:ascii="Arial" w:eastAsia="Times New Roman" w:hAnsi="Arial" w:cs="Arial"/>
                <w:color w:val="000000"/>
                <w:sz w:val="18"/>
                <w:szCs w:val="18"/>
              </w:rPr>
              <w:t>Aggregate</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146F6C81" w14:textId="77777777" w:rsidR="00C74FB6" w:rsidRPr="00223B08" w:rsidRDefault="00C74FB6" w:rsidP="0022376B">
            <w:pPr>
              <w:bidi w:val="0"/>
              <w:spacing w:after="0" w:line="240" w:lineRule="auto"/>
              <w:jc w:val="center"/>
              <w:rPr>
                <w:rFonts w:ascii="Arial" w:eastAsia="Times New Roman" w:hAnsi="Arial" w:cs="Arial"/>
                <w:color w:val="000000"/>
                <w:sz w:val="18"/>
                <w:szCs w:val="18"/>
                <w:rtl/>
              </w:rPr>
            </w:pPr>
            <w:r w:rsidRPr="00223B08">
              <w:rPr>
                <w:rFonts w:ascii="Arial" w:eastAsia="Times New Roman" w:hAnsi="Arial" w:cs="Arial"/>
                <w:color w:val="000000"/>
                <w:sz w:val="18"/>
                <w:szCs w:val="18"/>
              </w:rPr>
              <w:t>100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11A23F8C"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186C978F"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945" w:type="dxa"/>
            <w:tcBorders>
              <w:top w:val="nil"/>
              <w:left w:val="single" w:sz="4" w:space="0" w:color="auto"/>
              <w:bottom w:val="single" w:sz="4" w:space="0" w:color="auto"/>
              <w:right w:val="single" w:sz="4" w:space="0" w:color="auto"/>
            </w:tcBorders>
            <w:shd w:val="clear" w:color="auto" w:fill="auto"/>
            <w:noWrap/>
            <w:vAlign w:val="center"/>
            <w:hideMark/>
          </w:tcPr>
          <w:p w14:paraId="18FEF72F"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85D7C53"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577431D"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4B566389"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c>
          <w:tcPr>
            <w:tcW w:w="1910" w:type="dxa"/>
            <w:tcBorders>
              <w:top w:val="nil"/>
              <w:left w:val="single" w:sz="4" w:space="0" w:color="auto"/>
              <w:bottom w:val="single" w:sz="4" w:space="0" w:color="auto"/>
            </w:tcBorders>
            <w:shd w:val="clear" w:color="auto" w:fill="auto"/>
            <w:noWrap/>
            <w:vAlign w:val="center"/>
            <w:hideMark/>
          </w:tcPr>
          <w:p w14:paraId="4C355ADB" w14:textId="77777777" w:rsidR="00C74FB6" w:rsidRPr="00223B08" w:rsidRDefault="00C74FB6" w:rsidP="0022376B">
            <w:pPr>
              <w:bidi w:val="0"/>
              <w:spacing w:after="0" w:line="240" w:lineRule="auto"/>
              <w:jc w:val="center"/>
              <w:rPr>
                <w:rFonts w:ascii="Arial" w:eastAsia="Times New Roman" w:hAnsi="Arial" w:cs="Arial"/>
                <w:color w:val="000000"/>
                <w:sz w:val="18"/>
                <w:szCs w:val="18"/>
              </w:rPr>
            </w:pPr>
            <w:r w:rsidRPr="00223B08">
              <w:rPr>
                <w:rFonts w:ascii="Arial" w:eastAsia="Times New Roman" w:hAnsi="Arial" w:cs="Arial"/>
                <w:color w:val="000000"/>
                <w:sz w:val="18"/>
                <w:szCs w:val="18"/>
              </w:rPr>
              <w:t>100</w:t>
            </w:r>
          </w:p>
        </w:tc>
      </w:tr>
    </w:tbl>
    <w:p w14:paraId="67552DB2" w14:textId="77777777" w:rsidR="00447604" w:rsidRPr="003666B8" w:rsidRDefault="00447604" w:rsidP="0071734F">
      <w:pPr>
        <w:pStyle w:val="Caption"/>
        <w:rPr>
          <w:sz w:val="28"/>
          <w:szCs w:val="28"/>
          <w:rtl/>
          <w:lang w:val="en-GB" w:bidi="ar-JO"/>
        </w:rPr>
      </w:pPr>
    </w:p>
    <w:p w14:paraId="47DC929F" w14:textId="77777777" w:rsidR="00642A41" w:rsidRPr="00B17FE3" w:rsidRDefault="00642A41" w:rsidP="00642A41">
      <w:pPr>
        <w:pStyle w:val="Caption"/>
        <w:rPr>
          <w:rFonts w:asciiTheme="majorBidi" w:hAnsiTheme="majorBidi" w:cstheme="majorBidi"/>
          <w:sz w:val="28"/>
          <w:szCs w:val="28"/>
          <w:rtl/>
          <w:lang w:bidi="ar-JO"/>
        </w:rPr>
      </w:pPr>
      <w:r w:rsidRPr="00B17FE3">
        <w:rPr>
          <w:rFonts w:asciiTheme="majorBidi" w:hAnsiTheme="majorBidi" w:cstheme="majorBidi"/>
          <w:sz w:val="28"/>
          <w:szCs w:val="28"/>
          <w:lang w:bidi="ar-JO"/>
        </w:rPr>
        <w:t>Evaluation of US media coverage of the war on Gaza</w:t>
      </w:r>
    </w:p>
    <w:p w14:paraId="633D0853" w14:textId="4E4BD9F8" w:rsidR="0071734F" w:rsidRPr="003666B8" w:rsidRDefault="001972DF" w:rsidP="0071734F">
      <w:pPr>
        <w:jc w:val="center"/>
        <w:rPr>
          <w:rtl/>
          <w:lang w:val="en-GB"/>
        </w:rPr>
      </w:pPr>
      <w:r>
        <w:rPr>
          <w:noProof/>
        </w:rPr>
        <w:drawing>
          <wp:inline distT="0" distB="0" distL="0" distR="0" wp14:anchorId="5B91BC9F" wp14:editId="3BDE34C2">
            <wp:extent cx="5102567" cy="3010486"/>
            <wp:effectExtent l="0" t="0" r="3175" b="0"/>
            <wp:docPr id="1600639663" name="Chart 1">
              <a:extLst xmlns:a="http://schemas.openxmlformats.org/drawingml/2006/main">
                <a:ext uri="{FF2B5EF4-FFF2-40B4-BE49-F238E27FC236}">
                  <a16:creationId xmlns:a16="http://schemas.microsoft.com/office/drawing/2014/main" id="{D8629620-B003-827C-5729-803033A2F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214780" w14:textId="051D3BBC" w:rsidR="00EE1D94" w:rsidRDefault="00FF6330"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t>Arab p</w:t>
      </w:r>
      <w:r w:rsidR="00EE1D94" w:rsidRPr="00B17FE3">
        <w:rPr>
          <w:rFonts w:asciiTheme="majorBidi" w:hAnsiTheme="majorBidi" w:cstheme="majorBidi"/>
          <w:sz w:val="28"/>
          <w:szCs w:val="28"/>
        </w:rPr>
        <w:t xml:space="preserve">ublic opinion sees the Palestinian Cause as an Arab issue, and not </w:t>
      </w:r>
      <w:r w:rsidR="009950CE">
        <w:rPr>
          <w:rFonts w:asciiTheme="majorBidi" w:hAnsiTheme="majorBidi" w:cstheme="majorBidi"/>
          <w:sz w:val="28"/>
          <w:szCs w:val="28"/>
        </w:rPr>
        <w:t xml:space="preserve">exclusively </w:t>
      </w:r>
      <w:r w:rsidR="00FF3F27">
        <w:rPr>
          <w:rFonts w:asciiTheme="majorBidi" w:hAnsiTheme="majorBidi" w:cstheme="majorBidi"/>
          <w:sz w:val="28"/>
          <w:szCs w:val="28"/>
        </w:rPr>
        <w:t xml:space="preserve">a </w:t>
      </w:r>
      <w:r w:rsidR="00EE1D94" w:rsidRPr="00B17FE3">
        <w:rPr>
          <w:rFonts w:asciiTheme="majorBidi" w:hAnsiTheme="majorBidi" w:cstheme="majorBidi"/>
          <w:sz w:val="28"/>
          <w:szCs w:val="28"/>
        </w:rPr>
        <w:t>Palestinia</w:t>
      </w:r>
      <w:r w:rsidR="00D95AA2">
        <w:rPr>
          <w:rFonts w:asciiTheme="majorBidi" w:hAnsiTheme="majorBidi" w:cstheme="majorBidi"/>
          <w:sz w:val="28"/>
          <w:szCs w:val="28"/>
        </w:rPr>
        <w:t xml:space="preserve">n issue. </w:t>
      </w:r>
      <w:r w:rsidR="00672840" w:rsidRPr="00B17FE3">
        <w:rPr>
          <w:rFonts w:asciiTheme="majorBidi" w:hAnsiTheme="majorBidi" w:cstheme="majorBidi"/>
          <w:sz w:val="28"/>
          <w:szCs w:val="28"/>
        </w:rPr>
        <w:t xml:space="preserve"> A consensus of</w:t>
      </w:r>
      <w:r w:rsidR="00EE1D94" w:rsidRPr="00B17FE3">
        <w:rPr>
          <w:rFonts w:asciiTheme="majorBidi" w:hAnsiTheme="majorBidi" w:cstheme="majorBidi"/>
          <w:sz w:val="28"/>
          <w:szCs w:val="28"/>
        </w:rPr>
        <w:t xml:space="preserve"> 92%</w:t>
      </w:r>
      <w:r w:rsidR="00672840" w:rsidRPr="00B17FE3">
        <w:rPr>
          <w:rFonts w:asciiTheme="majorBidi" w:hAnsiTheme="majorBidi" w:cstheme="majorBidi"/>
          <w:sz w:val="28"/>
          <w:szCs w:val="28"/>
        </w:rPr>
        <w:t xml:space="preserve"> believe that</w:t>
      </w:r>
      <w:r w:rsidR="00EE1D94" w:rsidRPr="00B17FE3">
        <w:rPr>
          <w:rFonts w:asciiTheme="majorBidi" w:hAnsiTheme="majorBidi" w:cstheme="majorBidi"/>
          <w:sz w:val="28"/>
          <w:szCs w:val="28"/>
        </w:rPr>
        <w:t xml:space="preserve"> the Palestinian question concerns all Arabs and not just </w:t>
      </w:r>
      <w:r w:rsidR="00672840" w:rsidRPr="00B17FE3">
        <w:rPr>
          <w:rFonts w:asciiTheme="majorBidi" w:hAnsiTheme="majorBidi" w:cstheme="majorBidi"/>
          <w:sz w:val="28"/>
          <w:szCs w:val="28"/>
        </w:rPr>
        <w:t>the</w:t>
      </w:r>
      <w:r w:rsidR="00EE1D94" w:rsidRPr="00B17FE3">
        <w:rPr>
          <w:rFonts w:asciiTheme="majorBidi" w:hAnsiTheme="majorBidi" w:cstheme="majorBidi"/>
          <w:sz w:val="28"/>
          <w:szCs w:val="28"/>
        </w:rPr>
        <w:t xml:space="preserve"> Palestinians. On the other hand, 6% said that it concerns the Palestinians alone and they alone must work to solve it. It is worth noting that this percentage is the highest recorded </w:t>
      </w:r>
      <w:r w:rsidR="008A051C" w:rsidRPr="00B17FE3">
        <w:rPr>
          <w:rFonts w:asciiTheme="majorBidi" w:hAnsiTheme="majorBidi" w:cstheme="majorBidi"/>
          <w:sz w:val="28"/>
          <w:szCs w:val="28"/>
        </w:rPr>
        <w:t>since polling began</w:t>
      </w:r>
      <w:r w:rsidR="00E733B9">
        <w:rPr>
          <w:rFonts w:asciiTheme="majorBidi" w:hAnsiTheme="majorBidi" w:cstheme="majorBidi"/>
          <w:sz w:val="28"/>
          <w:szCs w:val="28"/>
        </w:rPr>
        <w:t xml:space="preserve"> in 2011</w:t>
      </w:r>
      <w:r w:rsidR="008A051C" w:rsidRPr="00B17FE3">
        <w:rPr>
          <w:rFonts w:asciiTheme="majorBidi" w:hAnsiTheme="majorBidi" w:cstheme="majorBidi"/>
          <w:sz w:val="28"/>
          <w:szCs w:val="28"/>
        </w:rPr>
        <w:t xml:space="preserve">, rising from 76% at the end of 2022, to 92% this year. Some countries </w:t>
      </w:r>
      <w:r w:rsidR="008A051C" w:rsidRPr="00B17FE3">
        <w:rPr>
          <w:rFonts w:asciiTheme="majorBidi" w:hAnsiTheme="majorBidi" w:cstheme="majorBidi"/>
          <w:sz w:val="28"/>
          <w:szCs w:val="28"/>
        </w:rPr>
        <w:lastRenderedPageBreak/>
        <w:t>recorded</w:t>
      </w:r>
      <w:r w:rsidR="00FD76C4" w:rsidRPr="00B17FE3">
        <w:rPr>
          <w:rFonts w:asciiTheme="majorBidi" w:hAnsiTheme="majorBidi" w:cstheme="majorBidi"/>
          <w:sz w:val="28"/>
          <w:szCs w:val="28"/>
        </w:rPr>
        <w:t xml:space="preserve"> </w:t>
      </w:r>
      <w:r w:rsidR="008A051C" w:rsidRPr="00B17FE3">
        <w:rPr>
          <w:rFonts w:asciiTheme="majorBidi" w:hAnsiTheme="majorBidi" w:cstheme="majorBidi"/>
          <w:sz w:val="28"/>
          <w:szCs w:val="28"/>
        </w:rPr>
        <w:t>significant increases. In Morocco, it rose from 59% in 2022 to 95%, in Egypt from 75% to 94%,</w:t>
      </w:r>
      <w:r w:rsidR="000A2706" w:rsidRPr="00B17FE3">
        <w:rPr>
          <w:rFonts w:asciiTheme="majorBidi" w:hAnsiTheme="majorBidi" w:cstheme="majorBidi"/>
          <w:sz w:val="28"/>
          <w:szCs w:val="28"/>
        </w:rPr>
        <w:t xml:space="preserve"> in Sudan from 68% </w:t>
      </w:r>
      <w:r w:rsidR="0050331C" w:rsidRPr="00B17FE3">
        <w:rPr>
          <w:rFonts w:asciiTheme="majorBidi" w:hAnsiTheme="majorBidi" w:cstheme="majorBidi"/>
          <w:sz w:val="28"/>
          <w:szCs w:val="28"/>
        </w:rPr>
        <w:t>to 91%,</w:t>
      </w:r>
      <w:r w:rsidR="008A051C" w:rsidRPr="00B17FE3">
        <w:rPr>
          <w:rFonts w:asciiTheme="majorBidi" w:hAnsiTheme="majorBidi" w:cstheme="majorBidi"/>
          <w:sz w:val="28"/>
          <w:szCs w:val="28"/>
        </w:rPr>
        <w:t xml:space="preserve"> and in Saudi Arabia from 69% to 95%, </w:t>
      </w:r>
      <w:r w:rsidR="0050331C" w:rsidRPr="00B17FE3">
        <w:rPr>
          <w:rFonts w:asciiTheme="majorBidi" w:hAnsiTheme="majorBidi" w:cstheme="majorBidi"/>
          <w:sz w:val="28"/>
          <w:szCs w:val="28"/>
        </w:rPr>
        <w:t>a s</w:t>
      </w:r>
      <w:r w:rsidR="001634A9" w:rsidRPr="00B17FE3">
        <w:rPr>
          <w:rFonts w:asciiTheme="majorBidi" w:hAnsiTheme="majorBidi" w:cstheme="majorBidi"/>
          <w:sz w:val="28"/>
          <w:szCs w:val="28"/>
        </w:rPr>
        <w:t>tatistically significant increase that represents</w:t>
      </w:r>
      <w:r w:rsidR="008A051C" w:rsidRPr="00B17FE3">
        <w:rPr>
          <w:rFonts w:asciiTheme="majorBidi" w:hAnsiTheme="majorBidi" w:cstheme="majorBidi"/>
          <w:sz w:val="28"/>
          <w:szCs w:val="28"/>
        </w:rPr>
        <w:t xml:space="preserve"> a fundamental shift in the opinions of the citizens of these countries.</w:t>
      </w:r>
    </w:p>
    <w:p w14:paraId="06218465" w14:textId="244D2E96" w:rsidR="003B15C9" w:rsidRPr="00B17FE3" w:rsidRDefault="003B15C9" w:rsidP="003B15C9">
      <w:pPr>
        <w:pStyle w:val="Caption"/>
        <w:bidi w:val="0"/>
        <w:spacing w:line="0" w:lineRule="atLeast"/>
        <w:rPr>
          <w:rFonts w:asciiTheme="majorBidi" w:hAnsiTheme="majorBidi" w:cstheme="majorBidi"/>
          <w:sz w:val="28"/>
          <w:szCs w:val="28"/>
          <w:rtl/>
        </w:rPr>
      </w:pPr>
      <w:r w:rsidRPr="00B17FE3">
        <w:rPr>
          <w:rFonts w:asciiTheme="majorBidi" w:hAnsiTheme="majorBidi" w:cstheme="majorBidi"/>
          <w:sz w:val="28"/>
          <w:szCs w:val="28"/>
        </w:rPr>
        <w:t xml:space="preserve">Consideration of the Palestinian Cause as an Arab issue over </w:t>
      </w:r>
      <w:r w:rsidR="000D4A34" w:rsidRPr="00B17FE3">
        <w:rPr>
          <w:rFonts w:asciiTheme="majorBidi" w:hAnsiTheme="majorBidi" w:cstheme="majorBidi"/>
          <w:sz w:val="28"/>
          <w:szCs w:val="28"/>
        </w:rPr>
        <w:t>time</w:t>
      </w:r>
    </w:p>
    <w:p w14:paraId="1C3869BC" w14:textId="74A095EC" w:rsidR="00D62D26" w:rsidRPr="003666B8" w:rsidRDefault="000D4A34" w:rsidP="00D62D26">
      <w:pPr>
        <w:jc w:val="center"/>
        <w:rPr>
          <w:rtl/>
          <w:lang w:val="en-GB" w:bidi="ar-QA"/>
        </w:rPr>
      </w:pPr>
      <w:r>
        <w:rPr>
          <w:noProof/>
        </w:rPr>
        <w:drawing>
          <wp:inline distT="0" distB="0" distL="0" distR="0" wp14:anchorId="7EE2BF7E" wp14:editId="7153CAA4">
            <wp:extent cx="5665373" cy="2602523"/>
            <wp:effectExtent l="0" t="0" r="0" b="7620"/>
            <wp:docPr id="287796969" name="Chart 1">
              <a:extLst xmlns:a="http://schemas.openxmlformats.org/drawingml/2006/main">
                <a:ext uri="{FF2B5EF4-FFF2-40B4-BE49-F238E27FC236}">
                  <a16:creationId xmlns:a16="http://schemas.microsoft.com/office/drawing/2014/main" id="{06EE1773-E3CB-0B01-A2B5-896DA2684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2E9E95" w14:textId="7584F0C6" w:rsidR="004176AE" w:rsidRPr="00B17FE3" w:rsidRDefault="006F4DD1" w:rsidP="00A6719F">
      <w:pPr>
        <w:pStyle w:val="BodyText"/>
        <w:spacing w:line="276" w:lineRule="auto"/>
        <w:jc w:val="both"/>
        <w:rPr>
          <w:rFonts w:asciiTheme="majorBidi" w:hAnsiTheme="majorBidi" w:cstheme="majorBidi"/>
          <w:sz w:val="28"/>
          <w:szCs w:val="28"/>
        </w:rPr>
      </w:pPr>
      <w:r w:rsidRPr="00B17FE3">
        <w:rPr>
          <w:rFonts w:asciiTheme="majorBidi" w:hAnsiTheme="majorBidi" w:cstheme="majorBidi"/>
          <w:sz w:val="28"/>
          <w:szCs w:val="28"/>
        </w:rPr>
        <w:t xml:space="preserve">Arab public opinion is almost unanimous in rejecting recognition of Israel, at a rate of 89%, </w:t>
      </w:r>
      <w:r w:rsidR="0039795E" w:rsidRPr="00B17FE3">
        <w:rPr>
          <w:rFonts w:asciiTheme="majorBidi" w:hAnsiTheme="majorBidi" w:cstheme="majorBidi"/>
          <w:sz w:val="28"/>
          <w:szCs w:val="28"/>
        </w:rPr>
        <w:t xml:space="preserve">up from 84% in 2022, </w:t>
      </w:r>
      <w:r w:rsidRPr="00B17FE3">
        <w:rPr>
          <w:rFonts w:asciiTheme="majorBidi" w:hAnsiTheme="majorBidi" w:cstheme="majorBidi"/>
          <w:sz w:val="28"/>
          <w:szCs w:val="28"/>
        </w:rPr>
        <w:t xml:space="preserve">compared to only 4% who support its recognition. </w:t>
      </w:r>
      <w:r w:rsidR="004176AE" w:rsidRPr="00B17FE3">
        <w:rPr>
          <w:rFonts w:asciiTheme="majorBidi" w:hAnsiTheme="majorBidi" w:cstheme="majorBidi"/>
          <w:sz w:val="28"/>
          <w:szCs w:val="28"/>
        </w:rPr>
        <w:t xml:space="preserve">Of </w:t>
      </w:r>
      <w:proofErr w:type="gramStart"/>
      <w:r w:rsidR="004176AE" w:rsidRPr="00B17FE3">
        <w:rPr>
          <w:rFonts w:asciiTheme="majorBidi" w:hAnsiTheme="majorBidi" w:cstheme="majorBidi"/>
          <w:sz w:val="28"/>
          <w:szCs w:val="28"/>
        </w:rPr>
        <w:t>particular note</w:t>
      </w:r>
      <w:proofErr w:type="gramEnd"/>
      <w:r w:rsidR="004176AE" w:rsidRPr="00B17FE3">
        <w:rPr>
          <w:rFonts w:asciiTheme="majorBidi" w:hAnsiTheme="majorBidi" w:cstheme="majorBidi"/>
          <w:sz w:val="28"/>
          <w:szCs w:val="28"/>
        </w:rPr>
        <w:t xml:space="preserve"> is the increase in the percentage of those who </w:t>
      </w:r>
      <w:r w:rsidR="00022932" w:rsidRPr="00B17FE3">
        <w:rPr>
          <w:rFonts w:asciiTheme="majorBidi" w:hAnsiTheme="majorBidi" w:cstheme="majorBidi"/>
          <w:sz w:val="28"/>
          <w:szCs w:val="28"/>
        </w:rPr>
        <w:t>rejected</w:t>
      </w:r>
      <w:r w:rsidR="004176AE" w:rsidRPr="00B17FE3">
        <w:rPr>
          <w:rFonts w:asciiTheme="majorBidi" w:hAnsiTheme="majorBidi" w:cstheme="majorBidi"/>
          <w:sz w:val="28"/>
          <w:szCs w:val="28"/>
        </w:rPr>
        <w:t xml:space="preserve"> recogni</w:t>
      </w:r>
      <w:r w:rsidR="00022932" w:rsidRPr="00B17FE3">
        <w:rPr>
          <w:rFonts w:asciiTheme="majorBidi" w:hAnsiTheme="majorBidi" w:cstheme="majorBidi"/>
          <w:sz w:val="28"/>
          <w:szCs w:val="28"/>
        </w:rPr>
        <w:t>tion of</w:t>
      </w:r>
      <w:r w:rsidR="004176AE" w:rsidRPr="00B17FE3">
        <w:rPr>
          <w:rFonts w:asciiTheme="majorBidi" w:hAnsiTheme="majorBidi" w:cstheme="majorBidi"/>
          <w:sz w:val="28"/>
          <w:szCs w:val="28"/>
        </w:rPr>
        <w:t xml:space="preserve"> Israel in Saudi Arabia from 38% in the 2022 poll to 68% </w:t>
      </w:r>
      <w:r w:rsidR="00E93D6E" w:rsidRPr="00B17FE3">
        <w:rPr>
          <w:rFonts w:asciiTheme="majorBidi" w:hAnsiTheme="majorBidi" w:cstheme="majorBidi"/>
          <w:sz w:val="28"/>
          <w:szCs w:val="28"/>
        </w:rPr>
        <w:t xml:space="preserve">in </w:t>
      </w:r>
      <w:r w:rsidR="004176AE" w:rsidRPr="00B17FE3">
        <w:rPr>
          <w:rFonts w:asciiTheme="majorBidi" w:hAnsiTheme="majorBidi" w:cstheme="majorBidi"/>
          <w:sz w:val="28"/>
          <w:szCs w:val="28"/>
        </w:rPr>
        <w:t xml:space="preserve">this </w:t>
      </w:r>
      <w:r w:rsidR="00E93D6E" w:rsidRPr="00B17FE3">
        <w:rPr>
          <w:rFonts w:asciiTheme="majorBidi" w:hAnsiTheme="majorBidi" w:cstheme="majorBidi"/>
          <w:sz w:val="28"/>
          <w:szCs w:val="28"/>
        </w:rPr>
        <w:t>survey</w:t>
      </w:r>
      <w:r w:rsidR="004176AE" w:rsidRPr="00B17FE3">
        <w:rPr>
          <w:rFonts w:asciiTheme="majorBidi" w:hAnsiTheme="majorBidi" w:cstheme="majorBidi"/>
          <w:sz w:val="28"/>
          <w:szCs w:val="28"/>
        </w:rPr>
        <w:t>. Such a statistically significant increase also applies to other countries such as Morocco, where the percentage rose from 67% to 78%</w:t>
      </w:r>
      <w:r w:rsidR="00E93D6E" w:rsidRPr="00B17FE3">
        <w:rPr>
          <w:rFonts w:asciiTheme="majorBidi" w:hAnsiTheme="majorBidi" w:cstheme="majorBidi"/>
          <w:sz w:val="28"/>
          <w:szCs w:val="28"/>
        </w:rPr>
        <w:t>,</w:t>
      </w:r>
      <w:r w:rsidR="004176AE" w:rsidRPr="00B17FE3">
        <w:rPr>
          <w:rFonts w:asciiTheme="majorBidi" w:hAnsiTheme="majorBidi" w:cstheme="majorBidi"/>
          <w:sz w:val="28"/>
          <w:szCs w:val="28"/>
        </w:rPr>
        <w:t xml:space="preserve"> and Sudan, where it increased from 72% to 81%.</w:t>
      </w:r>
    </w:p>
    <w:p w14:paraId="4622A839" w14:textId="3A3065A5" w:rsidR="00B30E54" w:rsidRPr="00B17FE3" w:rsidRDefault="00B30E54" w:rsidP="00B30E54">
      <w:pPr>
        <w:pStyle w:val="Caption"/>
        <w:spacing w:line="0" w:lineRule="atLeast"/>
        <w:rPr>
          <w:rFonts w:asciiTheme="majorBidi" w:hAnsiTheme="majorBidi" w:cstheme="majorBidi"/>
          <w:sz w:val="28"/>
          <w:szCs w:val="28"/>
          <w:rtl/>
        </w:rPr>
      </w:pPr>
      <w:r w:rsidRPr="00B17FE3">
        <w:rPr>
          <w:rFonts w:asciiTheme="majorBidi" w:hAnsiTheme="majorBidi" w:cstheme="majorBidi"/>
          <w:sz w:val="28"/>
          <w:szCs w:val="28"/>
        </w:rPr>
        <w:t xml:space="preserve">Support/opposition for recognizing Israel over </w:t>
      </w:r>
      <w:proofErr w:type="gramStart"/>
      <w:r w:rsidRPr="00B17FE3">
        <w:rPr>
          <w:rFonts w:asciiTheme="majorBidi" w:hAnsiTheme="majorBidi" w:cstheme="majorBidi"/>
          <w:sz w:val="28"/>
          <w:szCs w:val="28"/>
        </w:rPr>
        <w:t>time</w:t>
      </w:r>
      <w:proofErr w:type="gramEnd"/>
    </w:p>
    <w:p w14:paraId="51F0AFE0" w14:textId="6DB844DA" w:rsidR="007D1590" w:rsidRPr="003666B8" w:rsidRDefault="00381466" w:rsidP="007D1590">
      <w:pPr>
        <w:spacing w:afterLines="200" w:after="480" w:line="23" w:lineRule="atLeast"/>
        <w:contextualSpacing/>
        <w:jc w:val="center"/>
        <w:rPr>
          <w:noProof/>
          <w:rtl/>
          <w:lang w:val="en-GB"/>
        </w:rPr>
      </w:pPr>
      <w:r>
        <w:rPr>
          <w:noProof/>
        </w:rPr>
        <w:drawing>
          <wp:inline distT="0" distB="0" distL="0" distR="0" wp14:anchorId="75F99AB0" wp14:editId="78AEA394">
            <wp:extent cx="5654675" cy="2658794"/>
            <wp:effectExtent l="0" t="0" r="3175" b="8255"/>
            <wp:docPr id="116412137" name="Chart 1">
              <a:extLst xmlns:a="http://schemas.openxmlformats.org/drawingml/2006/main">
                <a:ext uri="{FF2B5EF4-FFF2-40B4-BE49-F238E27FC236}">
                  <a16:creationId xmlns:a16="http://schemas.microsoft.com/office/drawing/2014/main" id="{2768E45B-FC88-BDF8-221E-0C4DB1D98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C42AC6" w14:textId="6828F9AF" w:rsidR="00B17FE3" w:rsidRPr="003666B8" w:rsidRDefault="00241906" w:rsidP="00FF33D9">
      <w:pPr>
        <w:pStyle w:val="BodyText"/>
        <w:spacing w:line="276" w:lineRule="auto"/>
        <w:jc w:val="both"/>
        <w:rPr>
          <w:rFonts w:ascii="Times New Roman" w:hAnsi="Times New Roman"/>
          <w:szCs w:val="28"/>
          <w:rtl/>
        </w:rPr>
      </w:pPr>
      <w:r w:rsidRPr="00B17FE3">
        <w:rPr>
          <w:rFonts w:asciiTheme="majorBidi" w:eastAsiaTheme="majorEastAsia" w:hAnsiTheme="majorBidi" w:cstheme="majorBidi"/>
          <w:sz w:val="28"/>
          <w:szCs w:val="28"/>
        </w:rPr>
        <w:lastRenderedPageBreak/>
        <w:t xml:space="preserve">When asked about their opinions </w:t>
      </w:r>
      <w:r w:rsidR="00B07CD3" w:rsidRPr="00B17FE3">
        <w:rPr>
          <w:rFonts w:asciiTheme="majorBidi" w:eastAsiaTheme="majorEastAsia" w:hAnsiTheme="majorBidi" w:cstheme="majorBidi"/>
          <w:sz w:val="28"/>
          <w:szCs w:val="28"/>
        </w:rPr>
        <w:t xml:space="preserve">on </w:t>
      </w:r>
      <w:r w:rsidRPr="00B17FE3">
        <w:rPr>
          <w:rFonts w:asciiTheme="majorBidi" w:eastAsiaTheme="majorEastAsia" w:hAnsiTheme="majorBidi" w:cstheme="majorBidi"/>
          <w:sz w:val="28"/>
          <w:szCs w:val="28"/>
        </w:rPr>
        <w:t xml:space="preserve">what </w:t>
      </w:r>
      <w:r w:rsidR="00B07CD3" w:rsidRPr="00B17FE3">
        <w:rPr>
          <w:rFonts w:asciiTheme="majorBidi" w:eastAsiaTheme="majorEastAsia" w:hAnsiTheme="majorBidi" w:cstheme="majorBidi"/>
          <w:sz w:val="28"/>
          <w:szCs w:val="28"/>
        </w:rPr>
        <w:t xml:space="preserve">measures </w:t>
      </w:r>
      <w:r w:rsidRPr="00B17FE3">
        <w:rPr>
          <w:rFonts w:asciiTheme="majorBidi" w:eastAsiaTheme="majorEastAsia" w:hAnsiTheme="majorBidi" w:cstheme="majorBidi"/>
          <w:sz w:val="28"/>
          <w:szCs w:val="28"/>
        </w:rPr>
        <w:t xml:space="preserve">Arab governments should take in order to stop the war in Gaza, 36% of respondents stated that Arab governments should suspend all relations or normalization processes with Israel, </w:t>
      </w:r>
      <w:r w:rsidR="00DF0F28" w:rsidRPr="00B17FE3">
        <w:rPr>
          <w:rFonts w:asciiTheme="majorBidi" w:eastAsiaTheme="majorEastAsia" w:hAnsiTheme="majorBidi" w:cstheme="majorBidi"/>
          <w:sz w:val="28"/>
          <w:szCs w:val="28"/>
        </w:rPr>
        <w:t xml:space="preserve">while </w:t>
      </w:r>
      <w:r w:rsidRPr="00B17FE3">
        <w:rPr>
          <w:rFonts w:asciiTheme="majorBidi" w:eastAsiaTheme="majorEastAsia" w:hAnsiTheme="majorBidi" w:cstheme="majorBidi"/>
          <w:sz w:val="28"/>
          <w:szCs w:val="28"/>
        </w:rPr>
        <w:t>14% of them stated that aid and support should be brought into Gaza without Israeli approval</w:t>
      </w:r>
      <w:r w:rsidR="00BC293C">
        <w:rPr>
          <w:rFonts w:asciiTheme="majorBidi" w:eastAsiaTheme="majorEastAsia" w:hAnsiTheme="majorBidi" w:cstheme="majorBidi"/>
          <w:sz w:val="28"/>
          <w:szCs w:val="28"/>
        </w:rPr>
        <w:t>, and 11% s</w:t>
      </w:r>
      <w:r w:rsidR="002833A7">
        <w:rPr>
          <w:rFonts w:asciiTheme="majorBidi" w:eastAsiaTheme="majorEastAsia" w:hAnsiTheme="majorBidi" w:cstheme="majorBidi"/>
          <w:sz w:val="28"/>
          <w:szCs w:val="28"/>
        </w:rPr>
        <w:t>aid that the Arab governments should use oil as a weapon to</w:t>
      </w:r>
      <w:r w:rsidR="003D2524">
        <w:rPr>
          <w:rFonts w:asciiTheme="majorBidi" w:eastAsiaTheme="majorEastAsia" w:hAnsiTheme="majorBidi" w:cstheme="majorBidi"/>
          <w:sz w:val="28"/>
          <w:szCs w:val="28"/>
        </w:rPr>
        <w:t xml:space="preserve"> assert</w:t>
      </w:r>
      <w:r w:rsidR="002833A7">
        <w:rPr>
          <w:rFonts w:asciiTheme="majorBidi" w:eastAsiaTheme="majorEastAsia" w:hAnsiTheme="majorBidi" w:cstheme="majorBidi"/>
          <w:sz w:val="28"/>
          <w:szCs w:val="28"/>
        </w:rPr>
        <w:t xml:space="preserve"> pressure</w:t>
      </w:r>
      <w:r w:rsidR="003D2524">
        <w:rPr>
          <w:rFonts w:asciiTheme="majorBidi" w:eastAsiaTheme="majorEastAsia" w:hAnsiTheme="majorBidi" w:cstheme="majorBidi"/>
          <w:sz w:val="28"/>
          <w:szCs w:val="28"/>
        </w:rPr>
        <w:t xml:space="preserve"> on Israel and its supporters.</w:t>
      </w:r>
    </w:p>
    <w:p w14:paraId="3DBC2D26" w14:textId="77777777" w:rsidR="00FF33D9" w:rsidRDefault="00FF33D9" w:rsidP="00FF33D9">
      <w:pPr>
        <w:pStyle w:val="Caption"/>
        <w:bidi w:val="0"/>
        <w:spacing w:line="276" w:lineRule="auto"/>
        <w:rPr>
          <w:rFonts w:asciiTheme="minorHAnsi" w:hAnsiTheme="minorHAnsi" w:cstheme="minorHAnsi"/>
          <w:sz w:val="28"/>
          <w:szCs w:val="28"/>
        </w:rPr>
      </w:pPr>
    </w:p>
    <w:p w14:paraId="701A1371" w14:textId="734F49C5" w:rsidR="00FF33D9" w:rsidRPr="00FF33D9" w:rsidRDefault="008D5639" w:rsidP="00FF33D9">
      <w:pPr>
        <w:pStyle w:val="Caption"/>
        <w:bidi w:val="0"/>
        <w:spacing w:line="276" w:lineRule="auto"/>
        <w:rPr>
          <w:rFonts w:asciiTheme="minorHAnsi" w:hAnsiTheme="minorHAnsi" w:cstheme="minorHAnsi"/>
          <w:sz w:val="28"/>
          <w:szCs w:val="28"/>
        </w:rPr>
      </w:pPr>
      <w:r>
        <w:rPr>
          <w:rFonts w:asciiTheme="minorHAnsi" w:hAnsiTheme="minorHAnsi" w:cstheme="minorHAnsi"/>
          <w:sz w:val="28"/>
          <w:szCs w:val="28"/>
        </w:rPr>
        <w:t>Measures</w:t>
      </w:r>
      <w:r w:rsidR="00492DA8" w:rsidRPr="00B26CEE">
        <w:rPr>
          <w:rFonts w:asciiTheme="minorHAnsi" w:hAnsiTheme="minorHAnsi" w:cstheme="minorHAnsi"/>
          <w:sz w:val="28"/>
          <w:szCs w:val="28"/>
        </w:rPr>
        <w:t xml:space="preserve"> that </w:t>
      </w:r>
      <w:r w:rsidR="00492DA8">
        <w:rPr>
          <w:rFonts w:asciiTheme="minorHAnsi" w:hAnsiTheme="minorHAnsi" w:cstheme="minorHAnsi"/>
          <w:sz w:val="28"/>
          <w:szCs w:val="28"/>
        </w:rPr>
        <w:t>should</w:t>
      </w:r>
      <w:r w:rsidR="00492DA8" w:rsidRPr="00B26CEE">
        <w:rPr>
          <w:rFonts w:asciiTheme="minorHAnsi" w:hAnsiTheme="minorHAnsi" w:cstheme="minorHAnsi"/>
          <w:sz w:val="28"/>
          <w:szCs w:val="28"/>
        </w:rPr>
        <w:t xml:space="preserve"> be taken by Arab governments to stop the war</w:t>
      </w:r>
      <w:r w:rsidR="00810268">
        <w:rPr>
          <w:rFonts w:asciiTheme="minorHAnsi" w:hAnsiTheme="minorHAnsi" w:cstheme="minorHAnsi"/>
          <w:sz w:val="28"/>
          <w:szCs w:val="28"/>
        </w:rPr>
        <w:t xml:space="preserve"> on </w:t>
      </w:r>
      <w:proofErr w:type="gramStart"/>
      <w:r w:rsidR="00810268">
        <w:rPr>
          <w:rFonts w:asciiTheme="minorHAnsi" w:hAnsiTheme="minorHAnsi" w:cstheme="minorHAnsi"/>
          <w:sz w:val="28"/>
          <w:szCs w:val="28"/>
        </w:rPr>
        <w:t>Gaza</w:t>
      </w:r>
      <w:proofErr w:type="gramEnd"/>
    </w:p>
    <w:tbl>
      <w:tblPr>
        <w:tblStyle w:val="TableGrid"/>
        <w:tblpPr w:leftFromText="180" w:rightFromText="180" w:vertAnchor="text" w:tblpXSpec="center" w:tblpY="1"/>
        <w:tblOverlap w:val="never"/>
        <w:tblW w:w="10757" w:type="dxa"/>
        <w:tblLook w:val="04A0" w:firstRow="1" w:lastRow="0" w:firstColumn="1" w:lastColumn="0" w:noHBand="0" w:noVBand="1"/>
      </w:tblPr>
      <w:tblGrid>
        <w:gridCol w:w="7085"/>
        <w:gridCol w:w="1718"/>
        <w:gridCol w:w="1954"/>
      </w:tblGrid>
      <w:tr w:rsidR="00D201D3" w:rsidRPr="0045282A" w14:paraId="7D696020" w14:textId="77777777" w:rsidTr="00902518">
        <w:trPr>
          <w:trHeight w:val="364"/>
        </w:trPr>
        <w:tc>
          <w:tcPr>
            <w:tcW w:w="7085" w:type="dxa"/>
            <w:tcBorders>
              <w:left w:val="nil"/>
            </w:tcBorders>
            <w:shd w:val="clear" w:color="auto" w:fill="F2F2F2" w:themeFill="background1" w:themeFillShade="F2"/>
          </w:tcPr>
          <w:p w14:paraId="23039BB6" w14:textId="77777777" w:rsidR="00D201D3" w:rsidRPr="00B17FE3" w:rsidRDefault="00D201D3" w:rsidP="00902518">
            <w:pPr>
              <w:bidi w:val="0"/>
              <w:jc w:val="left"/>
              <w:rPr>
                <w:rFonts w:asciiTheme="minorHAnsi" w:hAnsiTheme="minorHAnsi" w:cstheme="minorHAnsi"/>
              </w:rPr>
            </w:pPr>
            <w:bookmarkStart w:id="0" w:name="_Hlk155772209"/>
          </w:p>
        </w:tc>
        <w:tc>
          <w:tcPr>
            <w:tcW w:w="1718" w:type="dxa"/>
            <w:shd w:val="clear" w:color="auto" w:fill="F2F2F2" w:themeFill="background1" w:themeFillShade="F2"/>
            <w:noWrap/>
          </w:tcPr>
          <w:p w14:paraId="5C794E23" w14:textId="64230E81"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 xml:space="preserve">Most important </w:t>
            </w:r>
            <w:r w:rsidR="008D5639">
              <w:rPr>
                <w:rFonts w:asciiTheme="minorHAnsi" w:hAnsiTheme="minorHAnsi" w:cstheme="minorHAnsi"/>
              </w:rPr>
              <w:t>measure</w:t>
            </w:r>
          </w:p>
        </w:tc>
        <w:tc>
          <w:tcPr>
            <w:tcW w:w="1954" w:type="dxa"/>
            <w:tcBorders>
              <w:right w:val="nil"/>
            </w:tcBorders>
            <w:shd w:val="clear" w:color="auto" w:fill="F2F2F2" w:themeFill="background1" w:themeFillShade="F2"/>
            <w:noWrap/>
          </w:tcPr>
          <w:p w14:paraId="34B77752" w14:textId="0A66E095"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 xml:space="preserve">Second most important </w:t>
            </w:r>
            <w:r w:rsidR="008D5639">
              <w:rPr>
                <w:rFonts w:asciiTheme="minorHAnsi" w:hAnsiTheme="minorHAnsi" w:cstheme="minorHAnsi"/>
              </w:rPr>
              <w:t>measure</w:t>
            </w:r>
          </w:p>
        </w:tc>
      </w:tr>
      <w:tr w:rsidR="00D201D3" w:rsidRPr="0045282A" w14:paraId="062AFE74" w14:textId="77777777" w:rsidTr="00902518">
        <w:trPr>
          <w:trHeight w:val="364"/>
        </w:trPr>
        <w:tc>
          <w:tcPr>
            <w:tcW w:w="7085" w:type="dxa"/>
            <w:tcBorders>
              <w:left w:val="nil"/>
            </w:tcBorders>
            <w:hideMark/>
          </w:tcPr>
          <w:p w14:paraId="4E999593"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Suspend</w:t>
            </w:r>
            <w:r w:rsidRPr="00B17FE3">
              <w:rPr>
                <w:rFonts w:asciiTheme="minorHAnsi" w:hAnsiTheme="minorHAnsi" w:cstheme="minorHAnsi"/>
                <w:rtl/>
              </w:rPr>
              <w:t xml:space="preserve"> </w:t>
            </w:r>
            <w:r w:rsidRPr="00B17FE3">
              <w:rPr>
                <w:rFonts w:asciiTheme="minorHAnsi" w:hAnsiTheme="minorHAnsi" w:cstheme="minorHAnsi"/>
              </w:rPr>
              <w:t>relations or normalization with Israel</w:t>
            </w:r>
          </w:p>
        </w:tc>
        <w:tc>
          <w:tcPr>
            <w:tcW w:w="1718" w:type="dxa"/>
            <w:noWrap/>
            <w:hideMark/>
          </w:tcPr>
          <w:p w14:paraId="750BFC3F"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36</w:t>
            </w:r>
          </w:p>
        </w:tc>
        <w:tc>
          <w:tcPr>
            <w:tcW w:w="1954" w:type="dxa"/>
            <w:tcBorders>
              <w:right w:val="nil"/>
            </w:tcBorders>
            <w:noWrap/>
            <w:hideMark/>
          </w:tcPr>
          <w:p w14:paraId="67D8E08A"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15</w:t>
            </w:r>
          </w:p>
        </w:tc>
      </w:tr>
      <w:tr w:rsidR="00D201D3" w:rsidRPr="0045282A" w14:paraId="04CD42B0" w14:textId="77777777" w:rsidTr="00902518">
        <w:trPr>
          <w:trHeight w:val="229"/>
        </w:trPr>
        <w:tc>
          <w:tcPr>
            <w:tcW w:w="7085" w:type="dxa"/>
            <w:tcBorders>
              <w:left w:val="nil"/>
            </w:tcBorders>
            <w:hideMark/>
          </w:tcPr>
          <w:p w14:paraId="3A706655"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Deliver aid to Gaza without Israeli approval</w:t>
            </w:r>
          </w:p>
        </w:tc>
        <w:tc>
          <w:tcPr>
            <w:tcW w:w="1718" w:type="dxa"/>
            <w:noWrap/>
            <w:hideMark/>
          </w:tcPr>
          <w:p w14:paraId="05129B95"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14</w:t>
            </w:r>
          </w:p>
        </w:tc>
        <w:tc>
          <w:tcPr>
            <w:tcW w:w="1954" w:type="dxa"/>
            <w:tcBorders>
              <w:right w:val="nil"/>
            </w:tcBorders>
            <w:noWrap/>
            <w:hideMark/>
          </w:tcPr>
          <w:p w14:paraId="35E7484B"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16</w:t>
            </w:r>
          </w:p>
        </w:tc>
      </w:tr>
      <w:tr w:rsidR="00D201D3" w:rsidRPr="0045282A" w14:paraId="5C2F0B5F" w14:textId="77777777" w:rsidTr="00902518">
        <w:trPr>
          <w:trHeight w:val="364"/>
        </w:trPr>
        <w:tc>
          <w:tcPr>
            <w:tcW w:w="7085" w:type="dxa"/>
            <w:tcBorders>
              <w:left w:val="nil"/>
            </w:tcBorders>
            <w:hideMark/>
          </w:tcPr>
          <w:p w14:paraId="5183FA75"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Use the oil weapon to pressure Israel and its supporters</w:t>
            </w:r>
          </w:p>
        </w:tc>
        <w:tc>
          <w:tcPr>
            <w:tcW w:w="1718" w:type="dxa"/>
            <w:noWrap/>
            <w:hideMark/>
          </w:tcPr>
          <w:p w14:paraId="4F2C2DE6"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11</w:t>
            </w:r>
          </w:p>
        </w:tc>
        <w:tc>
          <w:tcPr>
            <w:tcW w:w="1954" w:type="dxa"/>
            <w:tcBorders>
              <w:right w:val="nil"/>
            </w:tcBorders>
            <w:noWrap/>
            <w:hideMark/>
          </w:tcPr>
          <w:p w14:paraId="6CE9B0C3"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13</w:t>
            </w:r>
          </w:p>
        </w:tc>
      </w:tr>
      <w:tr w:rsidR="00D201D3" w:rsidRPr="0045282A" w14:paraId="4DB767C2" w14:textId="77777777" w:rsidTr="00902518">
        <w:trPr>
          <w:trHeight w:val="229"/>
        </w:trPr>
        <w:tc>
          <w:tcPr>
            <w:tcW w:w="7085" w:type="dxa"/>
            <w:tcBorders>
              <w:left w:val="nil"/>
            </w:tcBorders>
            <w:hideMark/>
          </w:tcPr>
          <w:p w14:paraId="13D40FF5"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Establish a global alliance to boycott Israel</w:t>
            </w:r>
          </w:p>
        </w:tc>
        <w:tc>
          <w:tcPr>
            <w:tcW w:w="1718" w:type="dxa"/>
            <w:noWrap/>
            <w:hideMark/>
          </w:tcPr>
          <w:p w14:paraId="4974F8AE"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9</w:t>
            </w:r>
          </w:p>
        </w:tc>
        <w:tc>
          <w:tcPr>
            <w:tcW w:w="1954" w:type="dxa"/>
            <w:tcBorders>
              <w:right w:val="nil"/>
            </w:tcBorders>
            <w:noWrap/>
            <w:hideMark/>
          </w:tcPr>
          <w:p w14:paraId="2774FA69"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11</w:t>
            </w:r>
          </w:p>
        </w:tc>
      </w:tr>
      <w:tr w:rsidR="00D201D3" w:rsidRPr="0045282A" w14:paraId="67841166" w14:textId="77777777" w:rsidTr="00902518">
        <w:trPr>
          <w:trHeight w:val="229"/>
        </w:trPr>
        <w:tc>
          <w:tcPr>
            <w:tcW w:w="7085" w:type="dxa"/>
            <w:tcBorders>
              <w:left w:val="nil"/>
            </w:tcBorders>
            <w:hideMark/>
          </w:tcPr>
          <w:p w14:paraId="1014609C"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Provide military aid to Gaza</w:t>
            </w:r>
          </w:p>
        </w:tc>
        <w:tc>
          <w:tcPr>
            <w:tcW w:w="1718" w:type="dxa"/>
            <w:noWrap/>
            <w:hideMark/>
          </w:tcPr>
          <w:p w14:paraId="78CB000F"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8</w:t>
            </w:r>
          </w:p>
        </w:tc>
        <w:tc>
          <w:tcPr>
            <w:tcW w:w="1954" w:type="dxa"/>
            <w:tcBorders>
              <w:right w:val="nil"/>
            </w:tcBorders>
            <w:noWrap/>
            <w:hideMark/>
          </w:tcPr>
          <w:p w14:paraId="1ECE32EB"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10</w:t>
            </w:r>
          </w:p>
        </w:tc>
      </w:tr>
      <w:tr w:rsidR="00D201D3" w:rsidRPr="0045282A" w14:paraId="7645EFE2" w14:textId="77777777" w:rsidTr="00902518">
        <w:trPr>
          <w:trHeight w:val="229"/>
        </w:trPr>
        <w:tc>
          <w:tcPr>
            <w:tcW w:w="7085" w:type="dxa"/>
            <w:tcBorders>
              <w:left w:val="nil"/>
            </w:tcBorders>
            <w:hideMark/>
          </w:tcPr>
          <w:p w14:paraId="509C6074"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Announce military mobilization</w:t>
            </w:r>
          </w:p>
        </w:tc>
        <w:tc>
          <w:tcPr>
            <w:tcW w:w="1718" w:type="dxa"/>
            <w:noWrap/>
            <w:hideMark/>
          </w:tcPr>
          <w:p w14:paraId="1A2D1949"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5</w:t>
            </w:r>
          </w:p>
        </w:tc>
        <w:tc>
          <w:tcPr>
            <w:tcW w:w="1954" w:type="dxa"/>
            <w:tcBorders>
              <w:right w:val="nil"/>
            </w:tcBorders>
            <w:noWrap/>
            <w:hideMark/>
          </w:tcPr>
          <w:p w14:paraId="4F2FC283"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6</w:t>
            </w:r>
          </w:p>
        </w:tc>
      </w:tr>
      <w:tr w:rsidR="00D201D3" w:rsidRPr="0045282A" w14:paraId="1F758E12" w14:textId="77777777" w:rsidTr="00902518">
        <w:trPr>
          <w:trHeight w:val="229"/>
        </w:trPr>
        <w:tc>
          <w:tcPr>
            <w:tcW w:w="7085" w:type="dxa"/>
            <w:tcBorders>
              <w:left w:val="nil"/>
            </w:tcBorders>
            <w:hideMark/>
          </w:tcPr>
          <w:p w14:paraId="74109833"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Reconsider relations with the United States</w:t>
            </w:r>
          </w:p>
        </w:tc>
        <w:tc>
          <w:tcPr>
            <w:tcW w:w="1718" w:type="dxa"/>
            <w:noWrap/>
            <w:hideMark/>
          </w:tcPr>
          <w:p w14:paraId="3BABDA55"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4</w:t>
            </w:r>
          </w:p>
        </w:tc>
        <w:tc>
          <w:tcPr>
            <w:tcW w:w="1954" w:type="dxa"/>
            <w:tcBorders>
              <w:right w:val="nil"/>
            </w:tcBorders>
            <w:noWrap/>
            <w:hideMark/>
          </w:tcPr>
          <w:p w14:paraId="4AE3C7D2"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6</w:t>
            </w:r>
          </w:p>
        </w:tc>
      </w:tr>
      <w:tr w:rsidR="00D201D3" w:rsidRPr="0045282A" w14:paraId="39E8C479" w14:textId="77777777" w:rsidTr="00902518">
        <w:trPr>
          <w:trHeight w:val="364"/>
        </w:trPr>
        <w:tc>
          <w:tcPr>
            <w:tcW w:w="7085" w:type="dxa"/>
            <w:tcBorders>
              <w:left w:val="nil"/>
            </w:tcBorders>
            <w:hideMark/>
          </w:tcPr>
          <w:p w14:paraId="7BD806A7"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Reconsider relations with states that support Israel’s war</w:t>
            </w:r>
            <w:r w:rsidRPr="00B17FE3">
              <w:rPr>
                <w:rFonts w:asciiTheme="minorHAnsi" w:hAnsiTheme="minorHAnsi" w:cstheme="minorHAnsi"/>
                <w:rtl/>
              </w:rPr>
              <w:t xml:space="preserve"> </w:t>
            </w:r>
            <w:r w:rsidRPr="00B17FE3">
              <w:rPr>
                <w:rFonts w:asciiTheme="minorHAnsi" w:hAnsiTheme="minorHAnsi" w:cstheme="minorHAnsi"/>
              </w:rPr>
              <w:t>on Gaza</w:t>
            </w:r>
          </w:p>
        </w:tc>
        <w:tc>
          <w:tcPr>
            <w:tcW w:w="1718" w:type="dxa"/>
            <w:noWrap/>
            <w:hideMark/>
          </w:tcPr>
          <w:p w14:paraId="298424C3"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3</w:t>
            </w:r>
          </w:p>
        </w:tc>
        <w:tc>
          <w:tcPr>
            <w:tcW w:w="1954" w:type="dxa"/>
            <w:tcBorders>
              <w:right w:val="nil"/>
            </w:tcBorders>
            <w:noWrap/>
            <w:hideMark/>
          </w:tcPr>
          <w:p w14:paraId="4D831C7D"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5</w:t>
            </w:r>
          </w:p>
        </w:tc>
      </w:tr>
      <w:tr w:rsidR="00D201D3" w:rsidRPr="0045282A" w14:paraId="721F00D0" w14:textId="77777777" w:rsidTr="00902518">
        <w:trPr>
          <w:trHeight w:val="364"/>
        </w:trPr>
        <w:tc>
          <w:tcPr>
            <w:tcW w:w="7085" w:type="dxa"/>
            <w:tcBorders>
              <w:left w:val="nil"/>
            </w:tcBorders>
            <w:hideMark/>
          </w:tcPr>
          <w:p w14:paraId="31C6205D" w14:textId="77777777" w:rsidR="00D201D3" w:rsidRPr="00B17FE3" w:rsidRDefault="00D201D3" w:rsidP="00902518">
            <w:pPr>
              <w:bidi w:val="0"/>
              <w:jc w:val="left"/>
              <w:rPr>
                <w:rFonts w:asciiTheme="minorHAnsi" w:hAnsiTheme="minorHAnsi" w:cstheme="minorHAnsi"/>
              </w:rPr>
            </w:pPr>
            <w:r w:rsidRPr="00B17FE3">
              <w:rPr>
                <w:rFonts w:asciiTheme="minorHAnsi" w:hAnsiTheme="minorHAnsi" w:cstheme="minorHAnsi"/>
              </w:rPr>
              <w:t>Build alliances with states that have taken practical steps</w:t>
            </w:r>
            <w:r w:rsidRPr="00B17FE3">
              <w:rPr>
                <w:rFonts w:asciiTheme="minorHAnsi" w:hAnsiTheme="minorHAnsi" w:cstheme="minorHAnsi"/>
                <w:rtl/>
              </w:rPr>
              <w:t xml:space="preserve"> </w:t>
            </w:r>
            <w:r w:rsidRPr="00B17FE3">
              <w:rPr>
                <w:rFonts w:asciiTheme="minorHAnsi" w:hAnsiTheme="minorHAnsi" w:cstheme="minorHAnsi"/>
              </w:rPr>
              <w:t>against Israel</w:t>
            </w:r>
          </w:p>
        </w:tc>
        <w:tc>
          <w:tcPr>
            <w:tcW w:w="1718" w:type="dxa"/>
            <w:noWrap/>
            <w:hideMark/>
          </w:tcPr>
          <w:p w14:paraId="18D4516D" w14:textId="77777777" w:rsidR="00D201D3" w:rsidRPr="00B17FE3" w:rsidRDefault="00D201D3" w:rsidP="00902518">
            <w:pPr>
              <w:bidi w:val="0"/>
              <w:jc w:val="center"/>
              <w:rPr>
                <w:rFonts w:asciiTheme="minorHAnsi" w:hAnsiTheme="minorHAnsi" w:cs="Times New Roman"/>
                <w:rtl/>
              </w:rPr>
            </w:pPr>
            <w:r w:rsidRPr="00B17FE3">
              <w:rPr>
                <w:rFonts w:asciiTheme="minorHAnsi" w:hAnsiTheme="minorHAnsi" w:cstheme="minorHAnsi"/>
              </w:rPr>
              <w:t>3</w:t>
            </w:r>
          </w:p>
        </w:tc>
        <w:tc>
          <w:tcPr>
            <w:tcW w:w="1954" w:type="dxa"/>
            <w:tcBorders>
              <w:right w:val="nil"/>
            </w:tcBorders>
            <w:noWrap/>
            <w:hideMark/>
          </w:tcPr>
          <w:p w14:paraId="24447A92" w14:textId="77777777" w:rsidR="00D201D3" w:rsidRPr="00B17FE3" w:rsidRDefault="00D201D3" w:rsidP="00902518">
            <w:pPr>
              <w:bidi w:val="0"/>
              <w:jc w:val="center"/>
              <w:rPr>
                <w:rFonts w:asciiTheme="minorHAnsi" w:hAnsiTheme="minorHAnsi" w:cstheme="minorHAnsi"/>
              </w:rPr>
            </w:pPr>
            <w:r w:rsidRPr="00B17FE3">
              <w:rPr>
                <w:rFonts w:asciiTheme="minorHAnsi" w:hAnsiTheme="minorHAnsi" w:cstheme="minorHAnsi"/>
              </w:rPr>
              <w:t>4</w:t>
            </w:r>
          </w:p>
        </w:tc>
      </w:tr>
      <w:tr w:rsidR="00FF33D9" w:rsidRPr="0045282A" w14:paraId="0B16CA1A" w14:textId="77777777" w:rsidTr="00902518">
        <w:trPr>
          <w:trHeight w:val="229"/>
        </w:trPr>
        <w:tc>
          <w:tcPr>
            <w:tcW w:w="7085" w:type="dxa"/>
            <w:tcBorders>
              <w:left w:val="nil"/>
            </w:tcBorders>
            <w:hideMark/>
          </w:tcPr>
          <w:p w14:paraId="22EEDF51" w14:textId="77777777" w:rsidR="00FF33D9" w:rsidRPr="00B17FE3" w:rsidRDefault="00FF33D9" w:rsidP="00902518">
            <w:pPr>
              <w:bidi w:val="0"/>
              <w:jc w:val="left"/>
              <w:rPr>
                <w:rFonts w:asciiTheme="minorHAnsi" w:hAnsiTheme="minorHAnsi" w:cstheme="minorHAnsi"/>
              </w:rPr>
            </w:pPr>
            <w:r w:rsidRPr="00B17FE3">
              <w:rPr>
                <w:rFonts w:asciiTheme="minorHAnsi" w:hAnsiTheme="minorHAnsi" w:cstheme="minorHAnsi"/>
              </w:rPr>
              <w:t>Other</w:t>
            </w:r>
          </w:p>
        </w:tc>
        <w:tc>
          <w:tcPr>
            <w:tcW w:w="1718" w:type="dxa"/>
            <w:noWrap/>
            <w:hideMark/>
          </w:tcPr>
          <w:p w14:paraId="40F9EFEE" w14:textId="77777777" w:rsidR="00FF33D9" w:rsidRPr="00B17FE3" w:rsidRDefault="00FF33D9" w:rsidP="00902518">
            <w:pPr>
              <w:bidi w:val="0"/>
              <w:jc w:val="center"/>
              <w:rPr>
                <w:rFonts w:asciiTheme="minorHAnsi" w:hAnsiTheme="minorHAnsi" w:cs="Times New Roman"/>
                <w:rtl/>
              </w:rPr>
            </w:pPr>
            <w:r w:rsidRPr="00B17FE3">
              <w:rPr>
                <w:rFonts w:asciiTheme="minorHAnsi" w:hAnsiTheme="minorHAnsi" w:cstheme="minorHAnsi"/>
              </w:rPr>
              <w:t>3</w:t>
            </w:r>
          </w:p>
        </w:tc>
        <w:tc>
          <w:tcPr>
            <w:tcW w:w="1954" w:type="dxa"/>
            <w:tcBorders>
              <w:right w:val="nil"/>
            </w:tcBorders>
            <w:noWrap/>
            <w:hideMark/>
          </w:tcPr>
          <w:p w14:paraId="4F765E91" w14:textId="77777777" w:rsidR="00FF33D9" w:rsidRPr="00B17FE3" w:rsidRDefault="00FF33D9" w:rsidP="00902518">
            <w:pPr>
              <w:bidi w:val="0"/>
              <w:jc w:val="center"/>
              <w:rPr>
                <w:rFonts w:asciiTheme="minorHAnsi" w:hAnsiTheme="minorHAnsi" w:cstheme="minorHAnsi"/>
              </w:rPr>
            </w:pPr>
            <w:r w:rsidRPr="00B17FE3">
              <w:rPr>
                <w:rFonts w:asciiTheme="minorHAnsi" w:hAnsiTheme="minorHAnsi" w:cstheme="minorHAnsi"/>
              </w:rPr>
              <w:t>2</w:t>
            </w:r>
          </w:p>
        </w:tc>
      </w:tr>
      <w:tr w:rsidR="00FF33D9" w:rsidRPr="0045282A" w14:paraId="281CAD37" w14:textId="77777777" w:rsidTr="00902518">
        <w:trPr>
          <w:trHeight w:val="229"/>
        </w:trPr>
        <w:tc>
          <w:tcPr>
            <w:tcW w:w="7085" w:type="dxa"/>
            <w:tcBorders>
              <w:left w:val="nil"/>
            </w:tcBorders>
            <w:hideMark/>
          </w:tcPr>
          <w:p w14:paraId="045410BB" w14:textId="77777777" w:rsidR="00FF33D9" w:rsidRPr="00B17FE3" w:rsidRDefault="00FF33D9" w:rsidP="00902518">
            <w:pPr>
              <w:bidi w:val="0"/>
              <w:jc w:val="left"/>
              <w:rPr>
                <w:rFonts w:asciiTheme="minorHAnsi" w:hAnsiTheme="minorHAnsi" w:cstheme="minorHAnsi"/>
              </w:rPr>
            </w:pPr>
            <w:r w:rsidRPr="00B17FE3">
              <w:rPr>
                <w:rFonts w:asciiTheme="minorHAnsi" w:hAnsiTheme="minorHAnsi" w:cstheme="minorHAnsi"/>
              </w:rPr>
              <w:t>Don't know / Declined to answer</w:t>
            </w:r>
          </w:p>
        </w:tc>
        <w:tc>
          <w:tcPr>
            <w:tcW w:w="1718" w:type="dxa"/>
            <w:noWrap/>
            <w:hideMark/>
          </w:tcPr>
          <w:p w14:paraId="28127BC6" w14:textId="77777777" w:rsidR="00FF33D9" w:rsidRPr="00B17FE3" w:rsidRDefault="00FF33D9" w:rsidP="00902518">
            <w:pPr>
              <w:bidi w:val="0"/>
              <w:jc w:val="center"/>
              <w:rPr>
                <w:rFonts w:asciiTheme="minorHAnsi" w:hAnsiTheme="minorHAnsi" w:cs="Times New Roman"/>
                <w:rtl/>
              </w:rPr>
            </w:pPr>
            <w:r w:rsidRPr="00B17FE3">
              <w:rPr>
                <w:rFonts w:asciiTheme="minorHAnsi" w:hAnsiTheme="minorHAnsi" w:cstheme="minorHAnsi"/>
              </w:rPr>
              <w:t>4</w:t>
            </w:r>
          </w:p>
        </w:tc>
        <w:tc>
          <w:tcPr>
            <w:tcW w:w="1954" w:type="dxa"/>
            <w:tcBorders>
              <w:right w:val="nil"/>
            </w:tcBorders>
            <w:noWrap/>
            <w:hideMark/>
          </w:tcPr>
          <w:p w14:paraId="68232A5A" w14:textId="77777777" w:rsidR="00FF33D9" w:rsidRPr="00B17FE3" w:rsidRDefault="00FF33D9" w:rsidP="00902518">
            <w:pPr>
              <w:bidi w:val="0"/>
              <w:jc w:val="center"/>
              <w:rPr>
                <w:rFonts w:asciiTheme="minorHAnsi" w:hAnsiTheme="minorHAnsi" w:cstheme="minorHAnsi"/>
              </w:rPr>
            </w:pPr>
            <w:r w:rsidRPr="00B17FE3">
              <w:rPr>
                <w:rFonts w:asciiTheme="minorHAnsi" w:hAnsiTheme="minorHAnsi" w:cstheme="minorHAnsi"/>
              </w:rPr>
              <w:t>0</w:t>
            </w:r>
          </w:p>
        </w:tc>
      </w:tr>
      <w:tr w:rsidR="00FF33D9" w:rsidRPr="0045282A" w14:paraId="34170743" w14:textId="77777777" w:rsidTr="00902518">
        <w:trPr>
          <w:trHeight w:val="229"/>
        </w:trPr>
        <w:tc>
          <w:tcPr>
            <w:tcW w:w="7085" w:type="dxa"/>
            <w:tcBorders>
              <w:left w:val="nil"/>
            </w:tcBorders>
            <w:hideMark/>
          </w:tcPr>
          <w:p w14:paraId="6F2DEDBF" w14:textId="77777777" w:rsidR="00FF33D9" w:rsidRPr="00B17FE3" w:rsidRDefault="00FF33D9" w:rsidP="00902518">
            <w:pPr>
              <w:bidi w:val="0"/>
              <w:jc w:val="left"/>
              <w:rPr>
                <w:rFonts w:asciiTheme="minorHAnsi" w:hAnsiTheme="minorHAnsi" w:cstheme="minorHAnsi"/>
              </w:rPr>
            </w:pPr>
            <w:r w:rsidRPr="00B17FE3">
              <w:rPr>
                <w:rFonts w:asciiTheme="minorHAnsi" w:hAnsiTheme="minorHAnsi" w:cstheme="minorHAnsi"/>
                <w:rtl/>
              </w:rPr>
              <w:t xml:space="preserve"> </w:t>
            </w:r>
            <w:r w:rsidRPr="00B17FE3">
              <w:rPr>
                <w:rFonts w:asciiTheme="minorHAnsi" w:hAnsiTheme="minorHAnsi" w:cstheme="minorHAnsi"/>
              </w:rPr>
              <w:t>No second</w:t>
            </w:r>
            <w:r w:rsidRPr="00B17FE3">
              <w:rPr>
                <w:rFonts w:asciiTheme="minorHAnsi" w:hAnsiTheme="minorHAnsi" w:cstheme="minorHAnsi"/>
                <w:rtl/>
              </w:rPr>
              <w:t xml:space="preserve"> </w:t>
            </w:r>
            <w:r w:rsidRPr="00B17FE3">
              <w:rPr>
                <w:rFonts w:asciiTheme="minorHAnsi" w:hAnsiTheme="minorHAnsi" w:cstheme="minorHAnsi"/>
              </w:rPr>
              <w:t>option</w:t>
            </w:r>
            <w:r w:rsidRPr="00B17FE3">
              <w:rPr>
                <w:rFonts w:asciiTheme="minorHAnsi" w:hAnsiTheme="minorHAnsi" w:cstheme="minorHAnsi"/>
                <w:rtl/>
              </w:rPr>
              <w:t xml:space="preserve"> </w:t>
            </w:r>
          </w:p>
        </w:tc>
        <w:tc>
          <w:tcPr>
            <w:tcW w:w="1718" w:type="dxa"/>
            <w:noWrap/>
            <w:hideMark/>
          </w:tcPr>
          <w:p w14:paraId="50069F43" w14:textId="77777777" w:rsidR="00FF33D9" w:rsidRPr="00B17FE3" w:rsidRDefault="00FF33D9" w:rsidP="00902518">
            <w:pPr>
              <w:bidi w:val="0"/>
              <w:jc w:val="center"/>
              <w:rPr>
                <w:rFonts w:asciiTheme="minorHAnsi" w:hAnsiTheme="minorHAnsi" w:cs="Times New Roman"/>
                <w:rtl/>
              </w:rPr>
            </w:pPr>
            <w:r w:rsidRPr="00B17FE3">
              <w:rPr>
                <w:rFonts w:asciiTheme="minorHAnsi" w:hAnsiTheme="minorHAnsi" w:cstheme="minorHAnsi"/>
              </w:rPr>
              <w:t>0</w:t>
            </w:r>
          </w:p>
        </w:tc>
        <w:tc>
          <w:tcPr>
            <w:tcW w:w="1954" w:type="dxa"/>
            <w:tcBorders>
              <w:right w:val="nil"/>
            </w:tcBorders>
            <w:noWrap/>
            <w:hideMark/>
          </w:tcPr>
          <w:p w14:paraId="2918B651" w14:textId="77777777" w:rsidR="00FF33D9" w:rsidRPr="00B17FE3" w:rsidRDefault="00FF33D9" w:rsidP="00902518">
            <w:pPr>
              <w:bidi w:val="0"/>
              <w:jc w:val="center"/>
              <w:rPr>
                <w:rFonts w:asciiTheme="minorHAnsi" w:hAnsiTheme="minorHAnsi" w:cstheme="minorHAnsi"/>
              </w:rPr>
            </w:pPr>
            <w:r w:rsidRPr="00B17FE3">
              <w:rPr>
                <w:rFonts w:asciiTheme="minorHAnsi" w:hAnsiTheme="minorHAnsi" w:cstheme="minorHAnsi"/>
              </w:rPr>
              <w:t>12</w:t>
            </w:r>
          </w:p>
        </w:tc>
      </w:tr>
      <w:tr w:rsidR="00FF33D9" w:rsidRPr="0045282A" w14:paraId="73EF0D81" w14:textId="77777777" w:rsidTr="00902518">
        <w:trPr>
          <w:trHeight w:val="229"/>
        </w:trPr>
        <w:tc>
          <w:tcPr>
            <w:tcW w:w="7085" w:type="dxa"/>
            <w:tcBorders>
              <w:left w:val="nil"/>
            </w:tcBorders>
          </w:tcPr>
          <w:p w14:paraId="727E53E7" w14:textId="77777777" w:rsidR="00FF33D9" w:rsidRPr="00B17FE3" w:rsidRDefault="00FF33D9" w:rsidP="00902518">
            <w:pPr>
              <w:bidi w:val="0"/>
              <w:jc w:val="left"/>
              <w:rPr>
                <w:rFonts w:asciiTheme="minorHAnsi" w:hAnsiTheme="minorHAnsi" w:cstheme="minorHAnsi"/>
                <w:rtl/>
              </w:rPr>
            </w:pPr>
            <w:r>
              <w:rPr>
                <w:rFonts w:asciiTheme="minorHAnsi" w:hAnsiTheme="minorHAnsi" w:cstheme="minorHAnsi"/>
              </w:rPr>
              <w:t>Total</w:t>
            </w:r>
          </w:p>
        </w:tc>
        <w:tc>
          <w:tcPr>
            <w:tcW w:w="1718" w:type="dxa"/>
            <w:noWrap/>
          </w:tcPr>
          <w:p w14:paraId="7365B874" w14:textId="77777777" w:rsidR="00FF33D9" w:rsidRPr="00B17FE3" w:rsidRDefault="00FF33D9" w:rsidP="00902518">
            <w:pPr>
              <w:bidi w:val="0"/>
              <w:jc w:val="center"/>
              <w:rPr>
                <w:rFonts w:asciiTheme="minorHAnsi" w:hAnsiTheme="minorHAnsi" w:cstheme="minorHAnsi"/>
              </w:rPr>
            </w:pPr>
            <w:r>
              <w:rPr>
                <w:rFonts w:asciiTheme="minorHAnsi" w:hAnsiTheme="minorHAnsi" w:cstheme="minorHAnsi"/>
              </w:rPr>
              <w:t>100</w:t>
            </w:r>
          </w:p>
        </w:tc>
        <w:tc>
          <w:tcPr>
            <w:tcW w:w="1954" w:type="dxa"/>
            <w:tcBorders>
              <w:right w:val="nil"/>
            </w:tcBorders>
            <w:noWrap/>
          </w:tcPr>
          <w:p w14:paraId="20623DF1" w14:textId="77777777" w:rsidR="00FF33D9" w:rsidRPr="00B17FE3" w:rsidRDefault="00FF33D9" w:rsidP="00902518">
            <w:pPr>
              <w:bidi w:val="0"/>
              <w:jc w:val="center"/>
              <w:rPr>
                <w:rFonts w:asciiTheme="minorHAnsi" w:hAnsiTheme="minorHAnsi" w:cstheme="minorHAnsi"/>
              </w:rPr>
            </w:pPr>
            <w:r>
              <w:rPr>
                <w:rFonts w:asciiTheme="minorHAnsi" w:hAnsiTheme="minorHAnsi" w:cstheme="minorHAnsi"/>
              </w:rPr>
              <w:t>100</w:t>
            </w:r>
          </w:p>
        </w:tc>
      </w:tr>
      <w:bookmarkEnd w:id="0"/>
    </w:tbl>
    <w:p w14:paraId="78CA9317" w14:textId="77777777" w:rsidR="00FF33D9" w:rsidRDefault="00FF33D9" w:rsidP="00A6719F">
      <w:pPr>
        <w:pStyle w:val="BodyText"/>
        <w:spacing w:line="276" w:lineRule="auto"/>
        <w:jc w:val="both"/>
        <w:rPr>
          <w:rFonts w:asciiTheme="majorBidi" w:eastAsiaTheme="majorEastAsia" w:hAnsiTheme="majorBidi" w:cstheme="majorBidi"/>
          <w:sz w:val="28"/>
          <w:szCs w:val="28"/>
          <w:lang w:val="en-US"/>
        </w:rPr>
      </w:pPr>
    </w:p>
    <w:p w14:paraId="1CE01846" w14:textId="02478613" w:rsidR="00A3656B" w:rsidRPr="00B17FE3" w:rsidRDefault="00A3656B" w:rsidP="00A6719F">
      <w:pPr>
        <w:pStyle w:val="BodyText"/>
        <w:spacing w:line="276" w:lineRule="auto"/>
        <w:jc w:val="both"/>
        <w:rPr>
          <w:rFonts w:asciiTheme="majorBidi" w:eastAsiaTheme="majorEastAsia" w:hAnsiTheme="majorBidi" w:cstheme="majorBidi"/>
          <w:sz w:val="28"/>
          <w:szCs w:val="28"/>
        </w:rPr>
      </w:pPr>
      <w:r w:rsidRPr="00B17FE3">
        <w:rPr>
          <w:rFonts w:asciiTheme="majorBidi" w:eastAsiaTheme="majorEastAsia" w:hAnsiTheme="majorBidi" w:cstheme="majorBidi"/>
          <w:sz w:val="28"/>
          <w:szCs w:val="28"/>
        </w:rPr>
        <w:t xml:space="preserve">There is a near consensus among Palestinian respondents from </w:t>
      </w:r>
      <w:r w:rsidRPr="00D36085">
        <w:rPr>
          <w:rFonts w:asciiTheme="majorBidi" w:eastAsiaTheme="majorEastAsia" w:hAnsiTheme="majorBidi" w:cstheme="majorBidi"/>
          <w:sz w:val="28"/>
          <w:szCs w:val="28"/>
        </w:rPr>
        <w:t xml:space="preserve">the West Bank </w:t>
      </w:r>
      <w:r w:rsidR="00D36085">
        <w:rPr>
          <w:rFonts w:asciiTheme="majorBidi" w:eastAsiaTheme="majorEastAsia" w:hAnsiTheme="majorBidi" w:cstheme="majorBidi"/>
          <w:sz w:val="28"/>
          <w:szCs w:val="28"/>
        </w:rPr>
        <w:t xml:space="preserve">(including </w:t>
      </w:r>
      <w:r w:rsidRPr="00D36085">
        <w:rPr>
          <w:rFonts w:asciiTheme="majorBidi" w:eastAsiaTheme="majorEastAsia" w:hAnsiTheme="majorBidi" w:cstheme="majorBidi"/>
          <w:sz w:val="28"/>
          <w:szCs w:val="28"/>
        </w:rPr>
        <w:t>Jerusalem</w:t>
      </w:r>
      <w:r w:rsidR="00D36085">
        <w:rPr>
          <w:rFonts w:asciiTheme="majorBidi" w:eastAsiaTheme="majorEastAsia" w:hAnsiTheme="majorBidi" w:cstheme="majorBidi"/>
          <w:sz w:val="28"/>
          <w:szCs w:val="28"/>
        </w:rPr>
        <w:t>)</w:t>
      </w:r>
      <w:r w:rsidRPr="00D36085">
        <w:rPr>
          <w:rFonts w:asciiTheme="majorBidi" w:eastAsiaTheme="majorEastAsia" w:hAnsiTheme="majorBidi" w:cstheme="majorBidi"/>
          <w:sz w:val="28"/>
          <w:szCs w:val="28"/>
        </w:rPr>
        <w:t>,</w:t>
      </w:r>
      <w:r w:rsidRPr="00B17FE3">
        <w:rPr>
          <w:rFonts w:asciiTheme="majorBidi" w:eastAsiaTheme="majorEastAsia" w:hAnsiTheme="majorBidi" w:cstheme="majorBidi"/>
          <w:sz w:val="28"/>
          <w:szCs w:val="28"/>
        </w:rPr>
        <w:t xml:space="preserve"> </w:t>
      </w:r>
      <w:r w:rsidR="006B5D13">
        <w:rPr>
          <w:rFonts w:asciiTheme="majorBidi" w:eastAsiaTheme="majorEastAsia" w:hAnsiTheme="majorBidi" w:cstheme="majorBidi"/>
          <w:sz w:val="28"/>
          <w:szCs w:val="28"/>
        </w:rPr>
        <w:t>around</w:t>
      </w:r>
      <w:r w:rsidRPr="00B17FE3">
        <w:rPr>
          <w:rFonts w:asciiTheme="majorBidi" w:eastAsiaTheme="majorEastAsia" w:hAnsiTheme="majorBidi" w:cstheme="majorBidi"/>
          <w:sz w:val="28"/>
          <w:szCs w:val="28"/>
        </w:rPr>
        <w:t xml:space="preserve"> 95%, that safety and freedom of movement between the governorates and cities of the West Bank and their sense of security and personal safety have been affected</w:t>
      </w:r>
      <w:r w:rsidR="0025313C">
        <w:rPr>
          <w:rFonts w:asciiTheme="majorBidi" w:eastAsiaTheme="majorEastAsia" w:hAnsiTheme="majorBidi" w:cstheme="majorBidi"/>
          <w:sz w:val="28"/>
          <w:szCs w:val="28"/>
        </w:rPr>
        <w:t xml:space="preserve"> negatively</w:t>
      </w:r>
      <w:r w:rsidRPr="00B17FE3">
        <w:rPr>
          <w:rFonts w:asciiTheme="majorBidi" w:eastAsiaTheme="majorEastAsia" w:hAnsiTheme="majorBidi" w:cstheme="majorBidi"/>
          <w:sz w:val="28"/>
          <w:szCs w:val="28"/>
        </w:rPr>
        <w:t xml:space="preserve"> </w:t>
      </w:r>
      <w:r w:rsidR="006B5D13">
        <w:rPr>
          <w:rFonts w:asciiTheme="majorBidi" w:eastAsiaTheme="majorEastAsia" w:hAnsiTheme="majorBidi" w:cstheme="majorBidi"/>
          <w:sz w:val="28"/>
          <w:szCs w:val="28"/>
        </w:rPr>
        <w:t>since 7 October 2023</w:t>
      </w:r>
      <w:r w:rsidR="001A05BF" w:rsidRPr="00B17FE3">
        <w:rPr>
          <w:rFonts w:asciiTheme="majorBidi" w:eastAsiaTheme="majorEastAsia" w:hAnsiTheme="majorBidi" w:cstheme="majorBidi"/>
          <w:sz w:val="28"/>
          <w:szCs w:val="28"/>
        </w:rPr>
        <w:t>.</w:t>
      </w:r>
    </w:p>
    <w:p w14:paraId="4EA4FF14" w14:textId="77777777" w:rsidR="00B17FE3" w:rsidRDefault="00B17FE3" w:rsidP="00A3656B">
      <w:pPr>
        <w:pStyle w:val="BodyText"/>
        <w:rPr>
          <w:rFonts w:eastAsiaTheme="majorEastAsia"/>
        </w:rPr>
      </w:pPr>
    </w:p>
    <w:p w14:paraId="1AD5099D" w14:textId="77777777" w:rsidR="00B17FE3" w:rsidRDefault="00B17FE3" w:rsidP="00A3656B">
      <w:pPr>
        <w:pStyle w:val="BodyText"/>
        <w:rPr>
          <w:rFonts w:eastAsiaTheme="majorEastAsia"/>
        </w:rPr>
      </w:pPr>
    </w:p>
    <w:p w14:paraId="78069E47" w14:textId="77777777" w:rsidR="00B17FE3" w:rsidRDefault="00B17FE3" w:rsidP="00A3656B">
      <w:pPr>
        <w:pStyle w:val="BodyText"/>
        <w:rPr>
          <w:rFonts w:eastAsiaTheme="majorEastAsia"/>
        </w:rPr>
      </w:pPr>
    </w:p>
    <w:p w14:paraId="6F286B5F" w14:textId="77777777" w:rsidR="00B17FE3" w:rsidRDefault="00B17FE3" w:rsidP="00A3656B">
      <w:pPr>
        <w:pStyle w:val="BodyText"/>
        <w:rPr>
          <w:rFonts w:eastAsiaTheme="majorEastAsia"/>
        </w:rPr>
      </w:pPr>
    </w:p>
    <w:p w14:paraId="2C7648DA" w14:textId="77777777" w:rsidR="00FF33D9" w:rsidRDefault="00FF33D9" w:rsidP="001A05BF">
      <w:pPr>
        <w:pStyle w:val="BodyText"/>
        <w:jc w:val="center"/>
        <w:rPr>
          <w:rFonts w:asciiTheme="majorBidi" w:eastAsiaTheme="majorEastAsia" w:hAnsiTheme="majorBidi" w:cstheme="majorBidi"/>
          <w:b/>
          <w:bCs/>
          <w:sz w:val="28"/>
          <w:szCs w:val="28"/>
        </w:rPr>
      </w:pPr>
    </w:p>
    <w:p w14:paraId="30DA7E41" w14:textId="77777777" w:rsidR="00FF33D9" w:rsidRDefault="00FF33D9" w:rsidP="001A05BF">
      <w:pPr>
        <w:pStyle w:val="BodyText"/>
        <w:jc w:val="center"/>
        <w:rPr>
          <w:rFonts w:asciiTheme="majorBidi" w:eastAsiaTheme="majorEastAsia" w:hAnsiTheme="majorBidi" w:cstheme="majorBidi"/>
          <w:b/>
          <w:bCs/>
          <w:sz w:val="28"/>
          <w:szCs w:val="28"/>
        </w:rPr>
      </w:pPr>
    </w:p>
    <w:p w14:paraId="55428656" w14:textId="0CEF2DF2" w:rsidR="001A05BF" w:rsidRPr="00B17FE3" w:rsidRDefault="00AB1CD1" w:rsidP="001A05BF">
      <w:pPr>
        <w:pStyle w:val="BodyText"/>
        <w:jc w:val="center"/>
        <w:rPr>
          <w:rFonts w:asciiTheme="majorBidi" w:eastAsiaTheme="majorEastAsia" w:hAnsiTheme="majorBidi" w:cstheme="majorBidi"/>
          <w:b/>
          <w:bCs/>
          <w:sz w:val="28"/>
          <w:szCs w:val="28"/>
        </w:rPr>
      </w:pPr>
      <w:r>
        <w:rPr>
          <w:rFonts w:asciiTheme="majorBidi" w:eastAsiaTheme="majorEastAsia" w:hAnsiTheme="majorBidi" w:cstheme="majorBidi"/>
          <w:b/>
          <w:bCs/>
          <w:sz w:val="28"/>
          <w:szCs w:val="28"/>
        </w:rPr>
        <w:t>Negative e</w:t>
      </w:r>
      <w:r w:rsidR="001A05BF" w:rsidRPr="00B17FE3">
        <w:rPr>
          <w:rFonts w:asciiTheme="majorBidi" w:eastAsiaTheme="majorEastAsia" w:hAnsiTheme="majorBidi" w:cstheme="majorBidi"/>
          <w:b/>
          <w:bCs/>
          <w:sz w:val="28"/>
          <w:szCs w:val="28"/>
        </w:rPr>
        <w:t>ffects experienced in the West Bank</w:t>
      </w:r>
      <w:r w:rsidR="00AE69FF">
        <w:rPr>
          <w:rFonts w:asciiTheme="majorBidi" w:eastAsiaTheme="majorEastAsia" w:hAnsiTheme="majorBidi" w:cstheme="majorBidi"/>
          <w:b/>
          <w:bCs/>
          <w:sz w:val="28"/>
          <w:szCs w:val="28"/>
        </w:rPr>
        <w:t xml:space="preserve"> since</w:t>
      </w:r>
      <w:r>
        <w:rPr>
          <w:rFonts w:asciiTheme="majorBidi" w:eastAsiaTheme="majorEastAsia" w:hAnsiTheme="majorBidi" w:cstheme="majorBidi"/>
          <w:b/>
          <w:bCs/>
          <w:sz w:val="28"/>
          <w:szCs w:val="28"/>
        </w:rPr>
        <w:t xml:space="preserve"> 7 October</w:t>
      </w:r>
      <w:r w:rsidR="002E3EBE">
        <w:rPr>
          <w:rFonts w:asciiTheme="majorBidi" w:eastAsiaTheme="majorEastAsia" w:hAnsiTheme="majorBidi" w:cstheme="majorBidi"/>
          <w:b/>
          <w:bCs/>
          <w:sz w:val="28"/>
          <w:szCs w:val="28"/>
        </w:rPr>
        <w:t xml:space="preserve"> 2023</w:t>
      </w:r>
    </w:p>
    <w:p w14:paraId="34BEB461" w14:textId="7E984BE0" w:rsidR="00B17FE3" w:rsidRDefault="00AE2738" w:rsidP="00CB5DF7">
      <w:pPr>
        <w:jc w:val="center"/>
        <w:rPr>
          <w:rFonts w:eastAsiaTheme="majorEastAsia"/>
        </w:rPr>
      </w:pPr>
      <w:r>
        <w:rPr>
          <w:noProof/>
        </w:rPr>
        <w:drawing>
          <wp:inline distT="0" distB="0" distL="0" distR="0" wp14:anchorId="32409290" wp14:editId="372EE6BD">
            <wp:extent cx="6484620" cy="2668138"/>
            <wp:effectExtent l="0" t="0" r="0" b="0"/>
            <wp:docPr id="503334595" name="Chart 1">
              <a:extLst xmlns:a="http://schemas.openxmlformats.org/drawingml/2006/main">
                <a:ext uri="{FF2B5EF4-FFF2-40B4-BE49-F238E27FC236}">
                  <a16:creationId xmlns:a16="http://schemas.microsoft.com/office/drawing/2014/main" id="{32D7915D-0BB2-E14B-8023-953EBA91B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7DE277" w14:textId="4EC24261" w:rsidR="00611745" w:rsidRPr="00B17FE3" w:rsidRDefault="00C612A7" w:rsidP="00A6719F">
      <w:pPr>
        <w:pStyle w:val="BodyText"/>
        <w:spacing w:line="276" w:lineRule="auto"/>
        <w:jc w:val="both"/>
        <w:rPr>
          <w:rFonts w:asciiTheme="majorBidi" w:eastAsiaTheme="majorEastAsia" w:hAnsiTheme="majorBidi" w:cstheme="majorBidi"/>
          <w:sz w:val="28"/>
          <w:szCs w:val="28"/>
        </w:rPr>
      </w:pPr>
      <w:r w:rsidRPr="00B17FE3">
        <w:rPr>
          <w:rFonts w:asciiTheme="majorBidi" w:eastAsiaTheme="majorEastAsia" w:hAnsiTheme="majorBidi" w:cstheme="majorBidi"/>
          <w:sz w:val="28"/>
          <w:szCs w:val="28"/>
        </w:rPr>
        <w:t>A further 60% of Palestinian respondents in the West Bank said that they had been subjected to or were witnesses to raids by the occupation army forces, while 44% said that they were subjected to arrest or interrogation by the Israeli army, and 22% reported that they were subjected to harassment by settlers.</w:t>
      </w:r>
    </w:p>
    <w:p w14:paraId="27615E96" w14:textId="77777777" w:rsidR="00CB5DF7" w:rsidRDefault="00CB5DF7" w:rsidP="00430C30">
      <w:pPr>
        <w:jc w:val="center"/>
        <w:rPr>
          <w:rFonts w:asciiTheme="majorBidi" w:hAnsiTheme="majorBidi" w:cstheme="majorBidi"/>
          <w:b/>
          <w:bCs/>
          <w:szCs w:val="28"/>
          <w:lang w:val="en-GB" w:bidi="ar-JO"/>
        </w:rPr>
      </w:pPr>
    </w:p>
    <w:p w14:paraId="32BC9914" w14:textId="0BF8730D" w:rsidR="00430C30" w:rsidRPr="00B17FE3" w:rsidRDefault="00BC0ADD" w:rsidP="00430C30">
      <w:pPr>
        <w:jc w:val="center"/>
        <w:rPr>
          <w:rFonts w:asciiTheme="majorBidi" w:hAnsiTheme="majorBidi" w:cstheme="majorBidi"/>
          <w:b/>
          <w:bCs/>
          <w:szCs w:val="28"/>
          <w:rtl/>
          <w:lang w:val="en-GB" w:bidi="ar-JO"/>
        </w:rPr>
      </w:pPr>
      <w:r w:rsidRPr="00B17FE3">
        <w:rPr>
          <w:rFonts w:asciiTheme="majorBidi" w:hAnsiTheme="majorBidi" w:cstheme="majorBidi"/>
          <w:b/>
          <w:bCs/>
          <w:szCs w:val="28"/>
          <w:lang w:val="en-GB" w:bidi="ar-JO"/>
        </w:rPr>
        <w:t xml:space="preserve">Frequency of </w:t>
      </w:r>
      <w:r w:rsidR="00611745" w:rsidRPr="00B17FE3">
        <w:rPr>
          <w:rFonts w:asciiTheme="majorBidi" w:hAnsiTheme="majorBidi" w:cstheme="majorBidi"/>
          <w:b/>
          <w:bCs/>
          <w:szCs w:val="28"/>
          <w:lang w:val="en-GB" w:bidi="ar-JO"/>
        </w:rPr>
        <w:t xml:space="preserve">witnessing or happening upon incidences of raids, arrests, or settler harassment </w:t>
      </w:r>
      <w:r w:rsidR="0025313C">
        <w:rPr>
          <w:rFonts w:asciiTheme="majorBidi" w:hAnsiTheme="majorBidi" w:cstheme="majorBidi"/>
          <w:b/>
          <w:bCs/>
          <w:szCs w:val="28"/>
          <w:lang w:val="en-GB" w:bidi="ar-JO"/>
        </w:rPr>
        <w:t>in the West Bank</w:t>
      </w:r>
      <w:r w:rsidR="00E1117E">
        <w:rPr>
          <w:rFonts w:asciiTheme="majorBidi" w:hAnsiTheme="majorBidi" w:cstheme="majorBidi"/>
          <w:b/>
          <w:bCs/>
          <w:szCs w:val="28"/>
          <w:lang w:val="en-GB" w:bidi="ar-JO"/>
        </w:rPr>
        <w:t xml:space="preserve"> since 7 October</w:t>
      </w:r>
      <w:r w:rsidR="002E3EBE">
        <w:rPr>
          <w:rFonts w:asciiTheme="majorBidi" w:hAnsiTheme="majorBidi" w:cstheme="majorBidi"/>
          <w:b/>
          <w:bCs/>
          <w:szCs w:val="28"/>
          <w:lang w:val="en-GB" w:bidi="ar-JO"/>
        </w:rPr>
        <w:t xml:space="preserve"> 2023</w:t>
      </w:r>
    </w:p>
    <w:p w14:paraId="06137E9A" w14:textId="5ED27CE7" w:rsidR="00B90E9D" w:rsidRPr="003666B8" w:rsidRDefault="00611745" w:rsidP="00F64AB7">
      <w:pPr>
        <w:jc w:val="center"/>
        <w:rPr>
          <w:rFonts w:ascii="Times New Roman" w:hAnsi="Times New Roman"/>
          <w:szCs w:val="28"/>
          <w:rtl/>
          <w:lang w:val="en-GB" w:bidi="ar-QA"/>
        </w:rPr>
      </w:pPr>
      <w:r>
        <w:rPr>
          <w:noProof/>
        </w:rPr>
        <w:drawing>
          <wp:inline distT="0" distB="0" distL="0" distR="0" wp14:anchorId="60CA733A" wp14:editId="0235B834">
            <wp:extent cx="5127673" cy="3024554"/>
            <wp:effectExtent l="0" t="0" r="0" b="4445"/>
            <wp:docPr id="1789332850" name="Chart 1">
              <a:extLst xmlns:a="http://schemas.openxmlformats.org/drawingml/2006/main">
                <a:ext uri="{FF2B5EF4-FFF2-40B4-BE49-F238E27FC236}">
                  <a16:creationId xmlns:a16="http://schemas.microsoft.com/office/drawing/2014/main" id="{6C7B9A61-497B-FE14-C69F-8AFAF6759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CB49DC" w14:textId="35F3BBE0" w:rsidR="00E60F38" w:rsidRPr="003666B8" w:rsidRDefault="00D125FC" w:rsidP="00A6719F">
      <w:pPr>
        <w:bidi w:val="0"/>
        <w:contextualSpacing/>
        <w:rPr>
          <w:rFonts w:ascii="Times New Roman" w:hAnsi="Times New Roman"/>
          <w:szCs w:val="28"/>
          <w:rtl/>
          <w:lang w:val="en-GB" w:bidi="ar-QA"/>
        </w:rPr>
      </w:pPr>
      <w:r>
        <w:rPr>
          <w:rFonts w:ascii="Times New Roman" w:hAnsi="Times New Roman"/>
          <w:szCs w:val="28"/>
          <w:lang w:val="en-GB" w:bidi="ar-QA"/>
        </w:rPr>
        <w:lastRenderedPageBreak/>
        <w:t>T</w:t>
      </w:r>
      <w:r w:rsidRPr="00D125FC">
        <w:rPr>
          <w:rFonts w:ascii="Times New Roman" w:hAnsi="Times New Roman"/>
          <w:szCs w:val="28"/>
          <w:lang w:val="en-GB" w:bidi="ar-QA"/>
        </w:rPr>
        <w:t>his survey</w:t>
      </w:r>
      <w:r>
        <w:rPr>
          <w:rFonts w:ascii="Times New Roman" w:hAnsi="Times New Roman"/>
          <w:szCs w:val="28"/>
          <w:lang w:val="en-GB" w:bidi="ar-QA"/>
        </w:rPr>
        <w:t xml:space="preserve"> is </w:t>
      </w:r>
      <w:r w:rsidRPr="00D125FC">
        <w:rPr>
          <w:rFonts w:ascii="Times New Roman" w:hAnsi="Times New Roman"/>
          <w:szCs w:val="28"/>
          <w:lang w:val="en-GB" w:bidi="ar-QA"/>
        </w:rPr>
        <w:t xml:space="preserve">the first of its kind </w:t>
      </w:r>
      <w:r w:rsidR="008B2BFE">
        <w:rPr>
          <w:rFonts w:ascii="Times New Roman" w:hAnsi="Times New Roman"/>
          <w:szCs w:val="28"/>
          <w:lang w:val="en-GB" w:bidi="ar-QA"/>
        </w:rPr>
        <w:t xml:space="preserve">to gauge </w:t>
      </w:r>
      <w:r w:rsidR="00BE066F">
        <w:rPr>
          <w:rFonts w:ascii="Times New Roman" w:hAnsi="Times New Roman"/>
          <w:szCs w:val="28"/>
          <w:lang w:val="en-GB" w:bidi="ar-QA"/>
        </w:rPr>
        <w:t xml:space="preserve">public opinion on the </w:t>
      </w:r>
      <w:r w:rsidR="001F1F85">
        <w:rPr>
          <w:rFonts w:ascii="Times New Roman" w:hAnsi="Times New Roman"/>
          <w:szCs w:val="28"/>
          <w:lang w:val="en-GB" w:bidi="ar-QA"/>
        </w:rPr>
        <w:t>topic across the Arab region</w:t>
      </w:r>
      <w:r w:rsidR="00527D80">
        <w:rPr>
          <w:rFonts w:ascii="Times New Roman" w:hAnsi="Times New Roman"/>
          <w:szCs w:val="28"/>
          <w:lang w:val="en-GB" w:bidi="ar-QA"/>
        </w:rPr>
        <w:t>. The field work was conducted</w:t>
      </w:r>
      <w:r w:rsidRPr="00D125FC">
        <w:rPr>
          <w:rFonts w:ascii="Times New Roman" w:hAnsi="Times New Roman"/>
          <w:szCs w:val="28"/>
          <w:lang w:val="en-GB" w:bidi="ar-QA"/>
        </w:rPr>
        <w:t xml:space="preserve"> </w:t>
      </w:r>
      <w:r w:rsidR="004B62A8">
        <w:rPr>
          <w:rFonts w:ascii="Times New Roman" w:hAnsi="Times New Roman"/>
          <w:szCs w:val="28"/>
          <w:lang w:val="en-GB" w:bidi="ar-QA"/>
        </w:rPr>
        <w:t xml:space="preserve">from 12 </w:t>
      </w:r>
      <w:r w:rsidRPr="00D125FC">
        <w:rPr>
          <w:rFonts w:ascii="Times New Roman" w:hAnsi="Times New Roman"/>
          <w:szCs w:val="28"/>
          <w:lang w:val="en-GB" w:bidi="ar-QA"/>
        </w:rPr>
        <w:t xml:space="preserve">December 2023 </w:t>
      </w:r>
      <w:r w:rsidR="004B62A8">
        <w:rPr>
          <w:rFonts w:ascii="Times New Roman" w:hAnsi="Times New Roman"/>
          <w:szCs w:val="28"/>
          <w:lang w:val="en-GB" w:bidi="ar-QA"/>
        </w:rPr>
        <w:t>to 5</w:t>
      </w:r>
      <w:r w:rsidRPr="00D125FC">
        <w:rPr>
          <w:rFonts w:ascii="Times New Roman" w:hAnsi="Times New Roman"/>
          <w:szCs w:val="28"/>
          <w:lang w:val="en-GB" w:bidi="ar-QA"/>
        </w:rPr>
        <w:t xml:space="preserve"> January 2024 in Mauritania, Morocco, Algeria, Tunisia, Libya, Egypt, Sudan, Yemen, Oman, Qatar, Kuwait, Saudi Arabia</w:t>
      </w:r>
      <w:r w:rsidR="006B6927">
        <w:rPr>
          <w:rFonts w:ascii="Times New Roman" w:hAnsi="Times New Roman"/>
          <w:szCs w:val="28"/>
          <w:lang w:val="en-GB" w:bidi="ar-QA"/>
        </w:rPr>
        <w:t>,</w:t>
      </w:r>
      <w:r w:rsidRPr="00D125FC">
        <w:rPr>
          <w:rFonts w:ascii="Times New Roman" w:hAnsi="Times New Roman"/>
          <w:szCs w:val="28"/>
          <w:lang w:val="en-GB" w:bidi="ar-QA"/>
        </w:rPr>
        <w:t xml:space="preserve"> Iraq, Jordan, Lebanon, and the West Bank</w:t>
      </w:r>
      <w:r w:rsidR="006B6927">
        <w:rPr>
          <w:rFonts w:ascii="Times New Roman" w:hAnsi="Times New Roman"/>
          <w:szCs w:val="28"/>
          <w:lang w:val="en-GB" w:bidi="ar-QA"/>
        </w:rPr>
        <w:t>,</w:t>
      </w:r>
      <w:r w:rsidRPr="00D125FC">
        <w:rPr>
          <w:rFonts w:ascii="Times New Roman" w:hAnsi="Times New Roman"/>
          <w:szCs w:val="28"/>
          <w:lang w:val="en-GB" w:bidi="ar-QA"/>
        </w:rPr>
        <w:t xml:space="preserve"> Palestine</w:t>
      </w:r>
      <w:r w:rsidR="00D36085">
        <w:rPr>
          <w:rFonts w:ascii="Times New Roman" w:hAnsi="Times New Roman"/>
          <w:szCs w:val="28"/>
          <w:lang w:val="en-GB" w:bidi="ar-QA"/>
        </w:rPr>
        <w:t xml:space="preserve"> (i</w:t>
      </w:r>
      <w:r w:rsidR="00257C76">
        <w:rPr>
          <w:rFonts w:ascii="Times New Roman" w:hAnsi="Times New Roman"/>
          <w:szCs w:val="28"/>
          <w:lang w:val="en-GB" w:bidi="ar-QA"/>
        </w:rPr>
        <w:t>ncluding Jerusalem)</w:t>
      </w:r>
      <w:r w:rsidRPr="00D125FC">
        <w:rPr>
          <w:rFonts w:ascii="Times New Roman" w:hAnsi="Times New Roman"/>
          <w:szCs w:val="28"/>
          <w:lang w:val="en-GB" w:bidi="ar-QA"/>
        </w:rPr>
        <w:t xml:space="preserve">. </w:t>
      </w:r>
      <w:r w:rsidR="005A5D5E" w:rsidRPr="005A5D5E">
        <w:rPr>
          <w:rFonts w:ascii="Times New Roman" w:hAnsi="Times New Roman"/>
          <w:szCs w:val="28"/>
          <w:lang w:val="en-GB" w:bidi="ar-QA"/>
        </w:rPr>
        <w:t xml:space="preserve">The surveyed communities represent 95% of the population of the Arab region and its far-flung regions. The sample in each of the </w:t>
      </w:r>
      <w:proofErr w:type="gramStart"/>
      <w:r w:rsidR="005A5D5E" w:rsidRPr="005A5D5E">
        <w:rPr>
          <w:rFonts w:ascii="Times New Roman" w:hAnsi="Times New Roman"/>
          <w:szCs w:val="28"/>
          <w:lang w:val="en-GB" w:bidi="ar-QA"/>
        </w:rPr>
        <w:t>aforementioned communities</w:t>
      </w:r>
      <w:proofErr w:type="gramEnd"/>
      <w:r w:rsidR="005A5D5E" w:rsidRPr="005A5D5E">
        <w:rPr>
          <w:rFonts w:ascii="Times New Roman" w:hAnsi="Times New Roman"/>
          <w:szCs w:val="28"/>
          <w:lang w:val="en-GB" w:bidi="ar-QA"/>
        </w:rPr>
        <w:t xml:space="preserve"> was 500 men and women, drawn according to cluster and self-weighted sampling methods to ensure that every individual in each country had an equal probability of appearing in the sample.</w:t>
      </w:r>
    </w:p>
    <w:sectPr w:rsidR="00E60F38" w:rsidRPr="003666B8">
      <w:headerReference w:type="default" r:id="rId25"/>
      <w:footerReference w:type="default" r:id="rId26"/>
      <w:pgSz w:w="11907" w:h="16839"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4D76B" w14:textId="77777777" w:rsidR="00965BCC" w:rsidRDefault="00965BCC">
      <w:pPr>
        <w:spacing w:after="0" w:line="240" w:lineRule="auto"/>
      </w:pPr>
      <w:r>
        <w:separator/>
      </w:r>
    </w:p>
    <w:p w14:paraId="60591071" w14:textId="77777777" w:rsidR="00965BCC" w:rsidRDefault="00965BCC"/>
  </w:endnote>
  <w:endnote w:type="continuationSeparator" w:id="0">
    <w:p w14:paraId="38908770" w14:textId="77777777" w:rsidR="00965BCC" w:rsidRDefault="00965BCC">
      <w:pPr>
        <w:spacing w:after="0" w:line="240" w:lineRule="auto"/>
      </w:pPr>
      <w:r>
        <w:continuationSeparator/>
      </w:r>
    </w:p>
    <w:p w14:paraId="1BA8B2D9" w14:textId="77777777" w:rsidR="00965BCC" w:rsidRDefault="00965BCC"/>
  </w:endnote>
  <w:endnote w:type="continuationNotice" w:id="1">
    <w:p w14:paraId="45A1D51B" w14:textId="77777777" w:rsidR="00965BCC" w:rsidRDefault="00965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buhijlah">
    <w:altName w:val="Times New Roman"/>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44665927"/>
      <w:docPartObj>
        <w:docPartGallery w:val="Page Numbers (Bottom of Page)"/>
        <w:docPartUnique/>
      </w:docPartObj>
    </w:sdtPr>
    <w:sdtEndPr>
      <w:rPr>
        <w:noProof/>
      </w:rPr>
    </w:sdtEndPr>
    <w:sdtContent>
      <w:p w14:paraId="08A14E50" w14:textId="77777777" w:rsidR="00393EFE" w:rsidRDefault="007C30BB">
        <w:pPr>
          <w:pStyle w:val="Footer"/>
          <w:jc w:val="center"/>
        </w:pPr>
        <w:r>
          <w:fldChar w:fldCharType="begin"/>
        </w:r>
        <w:r>
          <w:instrText xml:space="preserve"> PAGE   \* MERGEFORMAT </w:instrText>
        </w:r>
        <w:r>
          <w:fldChar w:fldCharType="separate"/>
        </w:r>
        <w:r>
          <w:rPr>
            <w:noProof/>
            <w:rtl/>
          </w:rPr>
          <w:t>15</w:t>
        </w:r>
        <w:r>
          <w:rPr>
            <w:noProof/>
          </w:rPr>
          <w:fldChar w:fldCharType="end"/>
        </w:r>
      </w:p>
    </w:sdtContent>
  </w:sdt>
  <w:p w14:paraId="2F45FA8D" w14:textId="77777777" w:rsidR="00393EFE" w:rsidRDefault="00393EF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3D8C8" w14:textId="77777777" w:rsidR="00965BCC" w:rsidRDefault="00965BCC">
      <w:pPr>
        <w:spacing w:after="0" w:line="240" w:lineRule="auto"/>
      </w:pPr>
      <w:r>
        <w:separator/>
      </w:r>
    </w:p>
    <w:p w14:paraId="50305DFA" w14:textId="77777777" w:rsidR="00965BCC" w:rsidRDefault="00965BCC"/>
  </w:footnote>
  <w:footnote w:type="continuationSeparator" w:id="0">
    <w:p w14:paraId="02063909" w14:textId="77777777" w:rsidR="00965BCC" w:rsidRDefault="00965BCC">
      <w:pPr>
        <w:spacing w:after="0" w:line="240" w:lineRule="auto"/>
      </w:pPr>
      <w:r>
        <w:continuationSeparator/>
      </w:r>
    </w:p>
    <w:p w14:paraId="43C6C6B1" w14:textId="77777777" w:rsidR="00965BCC" w:rsidRDefault="00965BCC"/>
  </w:footnote>
  <w:footnote w:type="continuationNotice" w:id="1">
    <w:p w14:paraId="009512A1" w14:textId="77777777" w:rsidR="00965BCC" w:rsidRDefault="00965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FE28" w14:textId="77777777" w:rsidR="00393EFE" w:rsidRDefault="00393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BE0"/>
    <w:multiLevelType w:val="hybridMultilevel"/>
    <w:tmpl w:val="1096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64F75"/>
    <w:multiLevelType w:val="hybridMultilevel"/>
    <w:tmpl w:val="E786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158D"/>
    <w:multiLevelType w:val="hybridMultilevel"/>
    <w:tmpl w:val="778C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861A6"/>
    <w:multiLevelType w:val="hybridMultilevel"/>
    <w:tmpl w:val="EF10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F4886"/>
    <w:multiLevelType w:val="hybridMultilevel"/>
    <w:tmpl w:val="0C36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C7799"/>
    <w:multiLevelType w:val="hybridMultilevel"/>
    <w:tmpl w:val="08B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E30FF0"/>
    <w:multiLevelType w:val="hybridMultilevel"/>
    <w:tmpl w:val="6AA0E306"/>
    <w:lvl w:ilvl="0" w:tplc="195EA034">
      <w:start w:val="100"/>
      <w:numFmt w:val="bullet"/>
      <w:lvlText w:val="-"/>
      <w:lvlJc w:val="left"/>
      <w:pPr>
        <w:ind w:left="1440" w:hanging="360"/>
      </w:pPr>
      <w:rPr>
        <w:rFonts w:ascii="Simplified Arabic" w:eastAsiaTheme="minorHAnsi" w:hAnsi="Symbol"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07710F"/>
    <w:multiLevelType w:val="hybridMultilevel"/>
    <w:tmpl w:val="E05CDA7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31F41D0E"/>
    <w:multiLevelType w:val="hybridMultilevel"/>
    <w:tmpl w:val="9E54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037E0"/>
    <w:multiLevelType w:val="hybridMultilevel"/>
    <w:tmpl w:val="049AC3E0"/>
    <w:lvl w:ilvl="0" w:tplc="1D3E410A">
      <w:start w:val="1"/>
      <w:numFmt w:val="bullet"/>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bidi="ar-JO"/>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D0B78"/>
    <w:multiLevelType w:val="hybridMultilevel"/>
    <w:tmpl w:val="5D98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73690"/>
    <w:multiLevelType w:val="hybridMultilevel"/>
    <w:tmpl w:val="BC86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E6707"/>
    <w:multiLevelType w:val="hybridMultilevel"/>
    <w:tmpl w:val="1422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72824"/>
    <w:multiLevelType w:val="hybridMultilevel"/>
    <w:tmpl w:val="7180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66EEF"/>
    <w:multiLevelType w:val="hybridMultilevel"/>
    <w:tmpl w:val="7BF60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F70270"/>
    <w:multiLevelType w:val="hybridMultilevel"/>
    <w:tmpl w:val="4966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E62D2"/>
    <w:multiLevelType w:val="hybridMultilevel"/>
    <w:tmpl w:val="2662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7175C"/>
    <w:multiLevelType w:val="hybridMultilevel"/>
    <w:tmpl w:val="E228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B528BC"/>
    <w:multiLevelType w:val="hybridMultilevel"/>
    <w:tmpl w:val="F0DA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77643">
    <w:abstractNumId w:val="10"/>
  </w:num>
  <w:num w:numId="2" w16cid:durableId="1639457990">
    <w:abstractNumId w:val="15"/>
  </w:num>
  <w:num w:numId="3" w16cid:durableId="1201239471">
    <w:abstractNumId w:val="17"/>
  </w:num>
  <w:num w:numId="4" w16cid:durableId="1968513382">
    <w:abstractNumId w:val="1"/>
  </w:num>
  <w:num w:numId="5" w16cid:durableId="1886864075">
    <w:abstractNumId w:val="16"/>
  </w:num>
  <w:num w:numId="6" w16cid:durableId="1967928709">
    <w:abstractNumId w:val="4"/>
  </w:num>
  <w:num w:numId="7" w16cid:durableId="593631783">
    <w:abstractNumId w:val="9"/>
  </w:num>
  <w:num w:numId="8" w16cid:durableId="717170118">
    <w:abstractNumId w:val="5"/>
  </w:num>
  <w:num w:numId="9" w16cid:durableId="1864829964">
    <w:abstractNumId w:val="18"/>
  </w:num>
  <w:num w:numId="10" w16cid:durableId="876815536">
    <w:abstractNumId w:val="2"/>
  </w:num>
  <w:num w:numId="11" w16cid:durableId="1269966815">
    <w:abstractNumId w:val="6"/>
  </w:num>
  <w:num w:numId="12" w16cid:durableId="2004359758">
    <w:abstractNumId w:val="3"/>
  </w:num>
  <w:num w:numId="13" w16cid:durableId="848523891">
    <w:abstractNumId w:val="0"/>
  </w:num>
  <w:num w:numId="14" w16cid:durableId="188036230">
    <w:abstractNumId w:val="14"/>
  </w:num>
  <w:num w:numId="15" w16cid:durableId="1161432346">
    <w:abstractNumId w:val="8"/>
  </w:num>
  <w:num w:numId="16" w16cid:durableId="1035470590">
    <w:abstractNumId w:val="13"/>
  </w:num>
  <w:num w:numId="17" w16cid:durableId="454637382">
    <w:abstractNumId w:val="12"/>
  </w:num>
  <w:num w:numId="18" w16cid:durableId="269364119">
    <w:abstractNumId w:val="7"/>
  </w:num>
  <w:num w:numId="19" w16cid:durableId="479880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EFE"/>
    <w:rsid w:val="00004D95"/>
    <w:rsid w:val="0000702A"/>
    <w:rsid w:val="0000783B"/>
    <w:rsid w:val="00013DD3"/>
    <w:rsid w:val="00022932"/>
    <w:rsid w:val="000238CB"/>
    <w:rsid w:val="00054D4D"/>
    <w:rsid w:val="00054DC1"/>
    <w:rsid w:val="00056216"/>
    <w:rsid w:val="00060A07"/>
    <w:rsid w:val="00066DE6"/>
    <w:rsid w:val="000673C5"/>
    <w:rsid w:val="000716DF"/>
    <w:rsid w:val="000A2706"/>
    <w:rsid w:val="000A70DB"/>
    <w:rsid w:val="000A7333"/>
    <w:rsid w:val="000C296C"/>
    <w:rsid w:val="000D3924"/>
    <w:rsid w:val="000D4A34"/>
    <w:rsid w:val="000E1A0E"/>
    <w:rsid w:val="000E6705"/>
    <w:rsid w:val="000F24E4"/>
    <w:rsid w:val="0013131C"/>
    <w:rsid w:val="001334FA"/>
    <w:rsid w:val="00135B25"/>
    <w:rsid w:val="0013680F"/>
    <w:rsid w:val="00143B19"/>
    <w:rsid w:val="00145117"/>
    <w:rsid w:val="00150BBF"/>
    <w:rsid w:val="001565E5"/>
    <w:rsid w:val="00162C6B"/>
    <w:rsid w:val="001634A9"/>
    <w:rsid w:val="00166D25"/>
    <w:rsid w:val="001834B6"/>
    <w:rsid w:val="001972DF"/>
    <w:rsid w:val="00197791"/>
    <w:rsid w:val="001978AF"/>
    <w:rsid w:val="001A05BF"/>
    <w:rsid w:val="001B308B"/>
    <w:rsid w:val="001C6470"/>
    <w:rsid w:val="001D0296"/>
    <w:rsid w:val="001D66B2"/>
    <w:rsid w:val="001E4896"/>
    <w:rsid w:val="001E6E99"/>
    <w:rsid w:val="001F1F85"/>
    <w:rsid w:val="0022376B"/>
    <w:rsid w:val="002250C0"/>
    <w:rsid w:val="002250F1"/>
    <w:rsid w:val="00231C09"/>
    <w:rsid w:val="00241906"/>
    <w:rsid w:val="00244A16"/>
    <w:rsid w:val="002454CD"/>
    <w:rsid w:val="002471BF"/>
    <w:rsid w:val="0025313C"/>
    <w:rsid w:val="00257C76"/>
    <w:rsid w:val="00261998"/>
    <w:rsid w:val="00262B38"/>
    <w:rsid w:val="002650C1"/>
    <w:rsid w:val="00267DE9"/>
    <w:rsid w:val="00271BD0"/>
    <w:rsid w:val="00273313"/>
    <w:rsid w:val="00276E9C"/>
    <w:rsid w:val="00281640"/>
    <w:rsid w:val="002833A7"/>
    <w:rsid w:val="002847C9"/>
    <w:rsid w:val="00286BF9"/>
    <w:rsid w:val="002941EE"/>
    <w:rsid w:val="002970D2"/>
    <w:rsid w:val="002B009A"/>
    <w:rsid w:val="002E3379"/>
    <w:rsid w:val="002E3EBE"/>
    <w:rsid w:val="002E6ABF"/>
    <w:rsid w:val="002E6AE3"/>
    <w:rsid w:val="002F3561"/>
    <w:rsid w:val="00303567"/>
    <w:rsid w:val="0031552A"/>
    <w:rsid w:val="0031621D"/>
    <w:rsid w:val="003168A3"/>
    <w:rsid w:val="003255D2"/>
    <w:rsid w:val="00325641"/>
    <w:rsid w:val="00350ACD"/>
    <w:rsid w:val="00357BED"/>
    <w:rsid w:val="00363FDE"/>
    <w:rsid w:val="003666B8"/>
    <w:rsid w:val="00381466"/>
    <w:rsid w:val="00392446"/>
    <w:rsid w:val="00393EFE"/>
    <w:rsid w:val="0039795E"/>
    <w:rsid w:val="003B15C9"/>
    <w:rsid w:val="003B29FF"/>
    <w:rsid w:val="003C32BF"/>
    <w:rsid w:val="003C7521"/>
    <w:rsid w:val="003D2524"/>
    <w:rsid w:val="003F11E6"/>
    <w:rsid w:val="003F35BF"/>
    <w:rsid w:val="00406578"/>
    <w:rsid w:val="004176AE"/>
    <w:rsid w:val="00430C30"/>
    <w:rsid w:val="0043339D"/>
    <w:rsid w:val="00435CC4"/>
    <w:rsid w:val="0043754C"/>
    <w:rsid w:val="00440AF7"/>
    <w:rsid w:val="004452C5"/>
    <w:rsid w:val="00447604"/>
    <w:rsid w:val="0047126E"/>
    <w:rsid w:val="004747AF"/>
    <w:rsid w:val="004812FF"/>
    <w:rsid w:val="00481ED7"/>
    <w:rsid w:val="00492DA8"/>
    <w:rsid w:val="004A5A1A"/>
    <w:rsid w:val="004B62A8"/>
    <w:rsid w:val="004D5069"/>
    <w:rsid w:val="004D5AF2"/>
    <w:rsid w:val="004E0F73"/>
    <w:rsid w:val="004E21C2"/>
    <w:rsid w:val="004E78B3"/>
    <w:rsid w:val="004F06C7"/>
    <w:rsid w:val="004F50A2"/>
    <w:rsid w:val="004F548F"/>
    <w:rsid w:val="004F7125"/>
    <w:rsid w:val="0050331C"/>
    <w:rsid w:val="005128E5"/>
    <w:rsid w:val="00527D80"/>
    <w:rsid w:val="00530E07"/>
    <w:rsid w:val="00543DB1"/>
    <w:rsid w:val="00566F11"/>
    <w:rsid w:val="00583A64"/>
    <w:rsid w:val="005924DA"/>
    <w:rsid w:val="0059469C"/>
    <w:rsid w:val="005958F8"/>
    <w:rsid w:val="005A5D5E"/>
    <w:rsid w:val="005C65D1"/>
    <w:rsid w:val="005D1854"/>
    <w:rsid w:val="005D61E3"/>
    <w:rsid w:val="005F05AA"/>
    <w:rsid w:val="006047F7"/>
    <w:rsid w:val="00606332"/>
    <w:rsid w:val="00611745"/>
    <w:rsid w:val="00622F8B"/>
    <w:rsid w:val="00642A41"/>
    <w:rsid w:val="00646C94"/>
    <w:rsid w:val="0066389F"/>
    <w:rsid w:val="00672840"/>
    <w:rsid w:val="006734CD"/>
    <w:rsid w:val="00680929"/>
    <w:rsid w:val="00682EF9"/>
    <w:rsid w:val="00685681"/>
    <w:rsid w:val="006A770A"/>
    <w:rsid w:val="006B2936"/>
    <w:rsid w:val="006B4FE2"/>
    <w:rsid w:val="006B5D13"/>
    <w:rsid w:val="006B6927"/>
    <w:rsid w:val="006C54D9"/>
    <w:rsid w:val="006C7EC5"/>
    <w:rsid w:val="006D7066"/>
    <w:rsid w:val="006F0C90"/>
    <w:rsid w:val="006F4DD1"/>
    <w:rsid w:val="007002D6"/>
    <w:rsid w:val="00715318"/>
    <w:rsid w:val="0071734F"/>
    <w:rsid w:val="0074462D"/>
    <w:rsid w:val="00751E85"/>
    <w:rsid w:val="0075602C"/>
    <w:rsid w:val="00756A3D"/>
    <w:rsid w:val="0076353F"/>
    <w:rsid w:val="0077033E"/>
    <w:rsid w:val="00772AF1"/>
    <w:rsid w:val="0077424B"/>
    <w:rsid w:val="00780F8B"/>
    <w:rsid w:val="00781085"/>
    <w:rsid w:val="00784C66"/>
    <w:rsid w:val="00792C86"/>
    <w:rsid w:val="007A216D"/>
    <w:rsid w:val="007B07C0"/>
    <w:rsid w:val="007B0F84"/>
    <w:rsid w:val="007B7BF3"/>
    <w:rsid w:val="007C0CF2"/>
    <w:rsid w:val="007C30BB"/>
    <w:rsid w:val="007C53E8"/>
    <w:rsid w:val="007D0964"/>
    <w:rsid w:val="007D1590"/>
    <w:rsid w:val="007D5689"/>
    <w:rsid w:val="007E0901"/>
    <w:rsid w:val="007F45B6"/>
    <w:rsid w:val="00810268"/>
    <w:rsid w:val="00810ABE"/>
    <w:rsid w:val="008136E2"/>
    <w:rsid w:val="008225B4"/>
    <w:rsid w:val="00824075"/>
    <w:rsid w:val="0083777E"/>
    <w:rsid w:val="00844163"/>
    <w:rsid w:val="00850121"/>
    <w:rsid w:val="00853077"/>
    <w:rsid w:val="00862164"/>
    <w:rsid w:val="008633F3"/>
    <w:rsid w:val="008714F0"/>
    <w:rsid w:val="00882135"/>
    <w:rsid w:val="008A02BA"/>
    <w:rsid w:val="008A051C"/>
    <w:rsid w:val="008A3142"/>
    <w:rsid w:val="008B2BFE"/>
    <w:rsid w:val="008B352C"/>
    <w:rsid w:val="008B7BB7"/>
    <w:rsid w:val="008C3A50"/>
    <w:rsid w:val="008C4A86"/>
    <w:rsid w:val="008D25D3"/>
    <w:rsid w:val="008D55C5"/>
    <w:rsid w:val="008D5639"/>
    <w:rsid w:val="008E02C0"/>
    <w:rsid w:val="008E0C8E"/>
    <w:rsid w:val="008E2889"/>
    <w:rsid w:val="008F3958"/>
    <w:rsid w:val="00904FAF"/>
    <w:rsid w:val="00915D85"/>
    <w:rsid w:val="00916831"/>
    <w:rsid w:val="00924BA1"/>
    <w:rsid w:val="0092591D"/>
    <w:rsid w:val="009413F7"/>
    <w:rsid w:val="00952073"/>
    <w:rsid w:val="00962654"/>
    <w:rsid w:val="00965BCC"/>
    <w:rsid w:val="00971624"/>
    <w:rsid w:val="00972546"/>
    <w:rsid w:val="009731FD"/>
    <w:rsid w:val="009743FB"/>
    <w:rsid w:val="009767DA"/>
    <w:rsid w:val="009950CE"/>
    <w:rsid w:val="009A6C9F"/>
    <w:rsid w:val="009B2450"/>
    <w:rsid w:val="009B663F"/>
    <w:rsid w:val="009C32BF"/>
    <w:rsid w:val="009C66E1"/>
    <w:rsid w:val="009C7E49"/>
    <w:rsid w:val="009D0564"/>
    <w:rsid w:val="009D311C"/>
    <w:rsid w:val="009F1F7D"/>
    <w:rsid w:val="009F2781"/>
    <w:rsid w:val="009F3B26"/>
    <w:rsid w:val="00A11B0A"/>
    <w:rsid w:val="00A3133F"/>
    <w:rsid w:val="00A32AB5"/>
    <w:rsid w:val="00A3656B"/>
    <w:rsid w:val="00A45289"/>
    <w:rsid w:val="00A520EA"/>
    <w:rsid w:val="00A558C5"/>
    <w:rsid w:val="00A57DB7"/>
    <w:rsid w:val="00A65520"/>
    <w:rsid w:val="00A6719F"/>
    <w:rsid w:val="00A81492"/>
    <w:rsid w:val="00AA11A2"/>
    <w:rsid w:val="00AA277A"/>
    <w:rsid w:val="00AA475F"/>
    <w:rsid w:val="00AA65DA"/>
    <w:rsid w:val="00AA6B02"/>
    <w:rsid w:val="00AB1CD1"/>
    <w:rsid w:val="00AB5FD5"/>
    <w:rsid w:val="00AB607C"/>
    <w:rsid w:val="00AB6B8A"/>
    <w:rsid w:val="00AC3185"/>
    <w:rsid w:val="00AD2FD1"/>
    <w:rsid w:val="00AE2738"/>
    <w:rsid w:val="00AE69FF"/>
    <w:rsid w:val="00B01A83"/>
    <w:rsid w:val="00B07CD3"/>
    <w:rsid w:val="00B10538"/>
    <w:rsid w:val="00B10D0D"/>
    <w:rsid w:val="00B17FE3"/>
    <w:rsid w:val="00B30E54"/>
    <w:rsid w:val="00B44C2B"/>
    <w:rsid w:val="00B60912"/>
    <w:rsid w:val="00B6116C"/>
    <w:rsid w:val="00B70989"/>
    <w:rsid w:val="00B76865"/>
    <w:rsid w:val="00B80EDE"/>
    <w:rsid w:val="00B90E9D"/>
    <w:rsid w:val="00B91A64"/>
    <w:rsid w:val="00B927A0"/>
    <w:rsid w:val="00B94470"/>
    <w:rsid w:val="00BA3AFF"/>
    <w:rsid w:val="00BA724A"/>
    <w:rsid w:val="00BA7E4C"/>
    <w:rsid w:val="00BB0290"/>
    <w:rsid w:val="00BB24CF"/>
    <w:rsid w:val="00BC0ADD"/>
    <w:rsid w:val="00BC0EA7"/>
    <w:rsid w:val="00BC293C"/>
    <w:rsid w:val="00BD25CF"/>
    <w:rsid w:val="00BD4CC8"/>
    <w:rsid w:val="00BE066F"/>
    <w:rsid w:val="00C05E86"/>
    <w:rsid w:val="00C06E40"/>
    <w:rsid w:val="00C15C3E"/>
    <w:rsid w:val="00C16CEB"/>
    <w:rsid w:val="00C5413C"/>
    <w:rsid w:val="00C553EB"/>
    <w:rsid w:val="00C57D53"/>
    <w:rsid w:val="00C612A7"/>
    <w:rsid w:val="00C74FB6"/>
    <w:rsid w:val="00C80FDE"/>
    <w:rsid w:val="00C874FB"/>
    <w:rsid w:val="00C97D25"/>
    <w:rsid w:val="00CB5DF7"/>
    <w:rsid w:val="00CC1ABC"/>
    <w:rsid w:val="00CC23D5"/>
    <w:rsid w:val="00CC34F7"/>
    <w:rsid w:val="00CC750C"/>
    <w:rsid w:val="00CC79B0"/>
    <w:rsid w:val="00CD2CD4"/>
    <w:rsid w:val="00CD4823"/>
    <w:rsid w:val="00CD5E73"/>
    <w:rsid w:val="00CE1803"/>
    <w:rsid w:val="00CE552F"/>
    <w:rsid w:val="00CF383A"/>
    <w:rsid w:val="00D002DD"/>
    <w:rsid w:val="00D05163"/>
    <w:rsid w:val="00D07597"/>
    <w:rsid w:val="00D125FC"/>
    <w:rsid w:val="00D1415E"/>
    <w:rsid w:val="00D201D3"/>
    <w:rsid w:val="00D22E7A"/>
    <w:rsid w:val="00D25A4F"/>
    <w:rsid w:val="00D26172"/>
    <w:rsid w:val="00D30486"/>
    <w:rsid w:val="00D30C64"/>
    <w:rsid w:val="00D355DB"/>
    <w:rsid w:val="00D36085"/>
    <w:rsid w:val="00D62D26"/>
    <w:rsid w:val="00D769EC"/>
    <w:rsid w:val="00D8085A"/>
    <w:rsid w:val="00D83D83"/>
    <w:rsid w:val="00D84694"/>
    <w:rsid w:val="00D84715"/>
    <w:rsid w:val="00D95AA2"/>
    <w:rsid w:val="00DA1B95"/>
    <w:rsid w:val="00DA3FC9"/>
    <w:rsid w:val="00DA4DCC"/>
    <w:rsid w:val="00DA50A6"/>
    <w:rsid w:val="00DB44C4"/>
    <w:rsid w:val="00DB56C0"/>
    <w:rsid w:val="00DD14B4"/>
    <w:rsid w:val="00DF0F28"/>
    <w:rsid w:val="00E05E01"/>
    <w:rsid w:val="00E1117E"/>
    <w:rsid w:val="00E21324"/>
    <w:rsid w:val="00E27E63"/>
    <w:rsid w:val="00E338FC"/>
    <w:rsid w:val="00E3429C"/>
    <w:rsid w:val="00E4299F"/>
    <w:rsid w:val="00E60F38"/>
    <w:rsid w:val="00E6365B"/>
    <w:rsid w:val="00E63DD5"/>
    <w:rsid w:val="00E67D4C"/>
    <w:rsid w:val="00E730A2"/>
    <w:rsid w:val="00E733B9"/>
    <w:rsid w:val="00E93D6E"/>
    <w:rsid w:val="00ED62FB"/>
    <w:rsid w:val="00EE1D94"/>
    <w:rsid w:val="00EF6032"/>
    <w:rsid w:val="00F166F0"/>
    <w:rsid w:val="00F2387D"/>
    <w:rsid w:val="00F2503D"/>
    <w:rsid w:val="00F302D2"/>
    <w:rsid w:val="00F37AC3"/>
    <w:rsid w:val="00F4143D"/>
    <w:rsid w:val="00F52906"/>
    <w:rsid w:val="00F64AB7"/>
    <w:rsid w:val="00F75171"/>
    <w:rsid w:val="00FB22E5"/>
    <w:rsid w:val="00FD76C4"/>
    <w:rsid w:val="00FF042D"/>
    <w:rsid w:val="00FF33D9"/>
    <w:rsid w:val="00FF3F27"/>
    <w:rsid w:val="00FF63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F556C"/>
  <w15:docId w15:val="{7A6CF46E-262A-494E-8296-9F58B6ED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bidi/>
      <w:jc w:val="both"/>
    </w:pPr>
    <w:rPr>
      <w:rFonts w:ascii="Simplified Arabic" w:eastAsia="Sakkal Majalla" w:hAnsi="Simplified Arabic" w:cs="Simplified Arabic"/>
      <w:sz w:val="28"/>
      <w:szCs w:val="32"/>
    </w:rPr>
  </w:style>
  <w:style w:type="paragraph" w:styleId="Heading1">
    <w:name w:val="heading 1"/>
    <w:basedOn w:val="Normal"/>
    <w:next w:val="Normal"/>
    <w:link w:val="Heading1Char"/>
    <w:uiPriority w:val="9"/>
    <w:qFormat/>
    <w:pPr>
      <w:jc w:val="left"/>
      <w:outlineLvl w:val="0"/>
    </w:pPr>
    <w:rPr>
      <w:rFonts w:eastAsiaTheme="minorHAnsi"/>
      <w:b/>
      <w:bCs/>
      <w:color w:val="244061" w:themeColor="accent1" w:themeShade="80"/>
      <w:sz w:val="44"/>
      <w:lang w:bidi="ar-QA"/>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Sakkal Majalla" w:hAnsi="Tahoma" w:cs="Tahoma"/>
      <w:sz w:val="16"/>
      <w:szCs w:val="16"/>
    </w:rPr>
  </w:style>
  <w:style w:type="paragraph" w:styleId="FootnoteText">
    <w:name w:val="footnote text"/>
    <w:basedOn w:val="Normal"/>
    <w:link w:val="FootnoteTextChar"/>
    <w:uiPriority w:val="99"/>
    <w:unhideWhenUsed/>
    <w:rPr>
      <w:rFonts w:eastAsia="Calibri" w:cs="Arial"/>
      <w:sz w:val="20"/>
      <w:szCs w:val="20"/>
    </w:rPr>
  </w:style>
  <w:style w:type="character" w:customStyle="1" w:styleId="FootnoteTextChar">
    <w:name w:val="Footnote Text Char"/>
    <w:basedOn w:val="DefaultParagraphFont"/>
    <w:link w:val="FootnoteText"/>
    <w:uiPriority w:val="99"/>
    <w:rPr>
      <w:rFonts w:ascii="Simplified Arabic" w:eastAsia="Calibri" w:hAnsi="Simplified Arabic" w:cs="Arial"/>
      <w:sz w:val="20"/>
      <w:szCs w:val="20"/>
    </w:rPr>
  </w:style>
  <w:style w:type="table" w:styleId="TableGrid">
    <w:name w:val="Table Grid"/>
    <w:basedOn w:val="TableNormal"/>
    <w:uiPriority w:val="5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rPr>
      <w:rFonts w:ascii="Simplified Arabic" w:eastAsia="Sakkal Majalla" w:hAnsi="Simplified Arabic" w:cs="Simplified Arabic"/>
      <w:sz w:val="24"/>
      <w:szCs w:val="28"/>
    </w:rPr>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rPr>
      <w:rFonts w:ascii="Simplified Arabic" w:eastAsia="Sakkal Majalla" w:hAnsi="Simplified Arabic" w:cs="Simplified Arabic"/>
      <w:sz w:val="24"/>
      <w:szCs w:val="28"/>
    </w:rPr>
  </w:style>
  <w:style w:type="character" w:styleId="SubtleEmphasis">
    <w:name w:val="Subtle Emphasis"/>
    <w:aliases w:val="Author"/>
    <w:basedOn w:val="DefaultParagraphFont"/>
    <w:uiPriority w:val="19"/>
    <w:qFormat/>
    <w:rPr>
      <w:rFonts w:ascii="Lucida Sans Unicode" w:hAnsi="Lucida Sans Unicode" w:cs="abuhijlah" w:hint="default"/>
      <w:spacing w:val="0"/>
      <w:sz w:val="20"/>
      <w:szCs w:val="22"/>
    </w:rPr>
  </w:style>
  <w:style w:type="paragraph" w:styleId="ListParagraph">
    <w:name w:val="List Paragraph"/>
    <w:basedOn w:val="Normal"/>
    <w:link w:val="ListParagraphChar"/>
    <w:uiPriority w:val="34"/>
    <w:qFormat/>
    <w:pPr>
      <w:bidi w:val="0"/>
      <w:ind w:left="720"/>
      <w:contextualSpacing/>
      <w:jc w:val="left"/>
    </w:pPr>
    <w:rPr>
      <w:rFonts w:asciiTheme="minorHAnsi" w:eastAsiaTheme="minorHAnsi" w:hAnsiTheme="minorHAnsi" w:cstheme="minorBidi"/>
      <w:sz w:val="22"/>
      <w:szCs w:val="22"/>
    </w:rPr>
  </w:style>
  <w:style w:type="paragraph" w:customStyle="1" w:styleId="ImageCaption">
    <w:name w:val="Image Caption"/>
    <w:basedOn w:val="Normal"/>
    <w:link w:val="ImageCaptionChar"/>
    <w:qFormat/>
    <w:pPr>
      <w:spacing w:after="0"/>
      <w:jc w:val="center"/>
    </w:pPr>
    <w:rPr>
      <w:rFonts w:eastAsiaTheme="minorHAnsi"/>
      <w:b/>
      <w:bCs/>
      <w:lang w:bidi="ar-QA"/>
    </w:rPr>
  </w:style>
  <w:style w:type="character" w:customStyle="1" w:styleId="ImageCaptionChar">
    <w:name w:val="Image Caption Char"/>
    <w:basedOn w:val="DefaultParagraphFont"/>
    <w:link w:val="ImageCaption"/>
    <w:rPr>
      <w:rFonts w:ascii="Simplified Arabic" w:hAnsi="Simplified Arabic" w:cs="Simplified Arabic"/>
      <w:b/>
      <w:bCs/>
      <w:sz w:val="28"/>
      <w:szCs w:val="28"/>
      <w:lang w:bidi="ar-QA"/>
    </w:rPr>
  </w:style>
  <w:style w:type="paragraph" w:styleId="Caption">
    <w:name w:val="caption"/>
    <w:basedOn w:val="Normal"/>
    <w:uiPriority w:val="35"/>
    <w:unhideWhenUsed/>
    <w:qFormat/>
    <w:pPr>
      <w:keepNext/>
      <w:widowControl/>
      <w:spacing w:after="0" w:line="240" w:lineRule="auto"/>
      <w:jc w:val="center"/>
    </w:pPr>
    <w:rPr>
      <w:rFonts w:eastAsiaTheme="minorHAnsi"/>
      <w:b/>
      <w:bCs/>
      <w:sz w:val="26"/>
      <w:szCs w:val="26"/>
    </w:rPr>
  </w:style>
  <w:style w:type="character" w:customStyle="1" w:styleId="ListParagraphChar">
    <w:name w:val="List Paragraph Char"/>
    <w:basedOn w:val="DefaultParagraphFont"/>
    <w:link w:val="ListParagraph"/>
    <w:uiPriority w:val="34"/>
  </w:style>
  <w:style w:type="character" w:customStyle="1" w:styleId="Heading1Char">
    <w:name w:val="Heading 1 Char"/>
    <w:basedOn w:val="DefaultParagraphFont"/>
    <w:link w:val="Heading1"/>
    <w:uiPriority w:val="9"/>
    <w:rPr>
      <w:rFonts w:ascii="Simplified Arabic" w:hAnsi="Simplified Arabic" w:cs="Simplified Arabic"/>
      <w:b/>
      <w:bCs/>
      <w:color w:val="244061" w:themeColor="accent1" w:themeShade="80"/>
      <w:sz w:val="44"/>
      <w:szCs w:val="32"/>
      <w:lang w:bidi="ar-QA"/>
    </w:rPr>
  </w:style>
  <w:style w:type="paragraph" w:styleId="Revision">
    <w:name w:val="Revision"/>
    <w:hidden/>
    <w:uiPriority w:val="99"/>
    <w:semiHidden/>
    <w:pPr>
      <w:spacing w:after="0" w:line="240" w:lineRule="auto"/>
    </w:pPr>
    <w:rPr>
      <w:rFonts w:ascii="Simplified Arabic" w:eastAsia="Sakkal Majalla" w:hAnsi="Simplified Arabic" w:cs="Simplified Arabic"/>
      <w:sz w:val="28"/>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5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A7E4C"/>
    <w:pPr>
      <w:widowControl/>
      <w:bidi w:val="0"/>
      <w:spacing w:after="120" w:line="240" w:lineRule="auto"/>
      <w:jc w:val="left"/>
    </w:pPr>
    <w:rPr>
      <w:rFonts w:asciiTheme="minorHAnsi" w:eastAsia="Times New Roman" w:hAnsiTheme="minorHAnsi" w:cstheme="minorHAnsi"/>
      <w:sz w:val="24"/>
      <w:szCs w:val="24"/>
      <w:lang w:val="en-GB" w:eastAsia="fr-FR" w:bidi="ar-QA"/>
    </w:rPr>
  </w:style>
  <w:style w:type="character" w:customStyle="1" w:styleId="BodyTextChar">
    <w:name w:val="Body Text Char"/>
    <w:basedOn w:val="DefaultParagraphFont"/>
    <w:link w:val="BodyText"/>
    <w:rsid w:val="00BA7E4C"/>
    <w:rPr>
      <w:rFonts w:eastAsia="Times New Roman" w:cstheme="minorHAnsi"/>
      <w:sz w:val="24"/>
      <w:szCs w:val="24"/>
      <w:lang w:val="en-GB" w:eastAsia="fr-FR" w:bidi="ar-QA"/>
    </w:rPr>
  </w:style>
  <w:style w:type="character" w:styleId="CommentReference">
    <w:name w:val="annotation reference"/>
    <w:basedOn w:val="DefaultParagraphFont"/>
    <w:uiPriority w:val="99"/>
    <w:unhideWhenUsed/>
    <w:qFormat/>
    <w:rsid w:val="00C74FB6"/>
    <w:rPr>
      <w:sz w:val="16"/>
      <w:szCs w:val="16"/>
    </w:rPr>
  </w:style>
  <w:style w:type="paragraph" w:styleId="CommentText">
    <w:name w:val="annotation text"/>
    <w:basedOn w:val="Normal"/>
    <w:link w:val="CommentTextChar"/>
    <w:uiPriority w:val="99"/>
    <w:unhideWhenUsed/>
    <w:qFormat/>
    <w:rsid w:val="00C74FB6"/>
    <w:pPr>
      <w:spacing w:line="240" w:lineRule="auto"/>
    </w:pPr>
    <w:rPr>
      <w:rFonts w:eastAsiaTheme="minorHAnsi"/>
      <w:sz w:val="20"/>
      <w:szCs w:val="20"/>
      <w:lang w:bidi="ar-QA"/>
    </w:rPr>
  </w:style>
  <w:style w:type="character" w:customStyle="1" w:styleId="CommentTextChar">
    <w:name w:val="Comment Text Char"/>
    <w:basedOn w:val="DefaultParagraphFont"/>
    <w:link w:val="CommentText"/>
    <w:uiPriority w:val="99"/>
    <w:qFormat/>
    <w:rsid w:val="00C74FB6"/>
    <w:rPr>
      <w:rFonts w:ascii="Simplified Arabic" w:hAnsi="Simplified Arabic" w:cs="Simplified Arabic"/>
      <w:sz w:val="20"/>
      <w:szCs w:val="20"/>
      <w:lang w:bidi="ar-Q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19557">
      <w:bodyDiv w:val="1"/>
      <w:marLeft w:val="0"/>
      <w:marRight w:val="0"/>
      <w:marTop w:val="0"/>
      <w:marBottom w:val="0"/>
      <w:divBdr>
        <w:top w:val="none" w:sz="0" w:space="0" w:color="auto"/>
        <w:left w:val="none" w:sz="0" w:space="0" w:color="auto"/>
        <w:bottom w:val="none" w:sz="0" w:space="0" w:color="auto"/>
        <w:right w:val="none" w:sz="0" w:space="0" w:color="auto"/>
      </w:divBdr>
    </w:div>
    <w:div w:id="907882314">
      <w:bodyDiv w:val="1"/>
      <w:marLeft w:val="0"/>
      <w:marRight w:val="0"/>
      <w:marTop w:val="0"/>
      <w:marBottom w:val="0"/>
      <w:divBdr>
        <w:top w:val="none" w:sz="0" w:space="0" w:color="auto"/>
        <w:left w:val="none" w:sz="0" w:space="0" w:color="auto"/>
        <w:bottom w:val="none" w:sz="0" w:space="0" w:color="auto"/>
        <w:right w:val="none" w:sz="0" w:space="0" w:color="auto"/>
      </w:divBdr>
    </w:div>
    <w:div w:id="1189104493">
      <w:bodyDiv w:val="1"/>
      <w:marLeft w:val="0"/>
      <w:marRight w:val="0"/>
      <w:marTop w:val="0"/>
      <w:marBottom w:val="0"/>
      <w:divBdr>
        <w:top w:val="none" w:sz="0" w:space="0" w:color="auto"/>
        <w:left w:val="none" w:sz="0" w:space="0" w:color="auto"/>
        <w:bottom w:val="none" w:sz="0" w:space="0" w:color="auto"/>
        <w:right w:val="none" w:sz="0" w:space="0" w:color="auto"/>
      </w:divBdr>
    </w:div>
    <w:div w:id="1265452812">
      <w:bodyDiv w:val="1"/>
      <w:marLeft w:val="0"/>
      <w:marRight w:val="0"/>
      <w:marTop w:val="0"/>
      <w:marBottom w:val="0"/>
      <w:divBdr>
        <w:top w:val="none" w:sz="0" w:space="0" w:color="auto"/>
        <w:left w:val="none" w:sz="0" w:space="0" w:color="auto"/>
        <w:bottom w:val="none" w:sz="0" w:space="0" w:color="auto"/>
        <w:right w:val="none" w:sz="0" w:space="0" w:color="auto"/>
      </w:divBdr>
    </w:div>
    <w:div w:id="1341927240">
      <w:bodyDiv w:val="1"/>
      <w:marLeft w:val="0"/>
      <w:marRight w:val="0"/>
      <w:marTop w:val="0"/>
      <w:marBottom w:val="0"/>
      <w:divBdr>
        <w:top w:val="none" w:sz="0" w:space="0" w:color="auto"/>
        <w:left w:val="none" w:sz="0" w:space="0" w:color="auto"/>
        <w:bottom w:val="none" w:sz="0" w:space="0" w:color="auto"/>
        <w:right w:val="none" w:sz="0" w:space="0" w:color="auto"/>
      </w:divBdr>
    </w:div>
    <w:div w:id="1909459484">
      <w:bodyDiv w:val="1"/>
      <w:marLeft w:val="0"/>
      <w:marRight w:val="0"/>
      <w:marTop w:val="0"/>
      <w:marBottom w:val="0"/>
      <w:divBdr>
        <w:top w:val="none" w:sz="0" w:space="0" w:color="auto"/>
        <w:left w:val="none" w:sz="0" w:space="0" w:color="auto"/>
        <w:bottom w:val="none" w:sz="0" w:space="0" w:color="auto"/>
        <w:right w:val="none" w:sz="0" w:space="0" w:color="auto"/>
      </w:divBdr>
    </w:div>
    <w:div w:id="208194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dorzadeh\Desktop\AOI\&#1575;&#1604;&#1575;&#1588;&#1603;&#1575;&#160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lewis\AppData\Local\Microsoft\Windows\INetCache\Content.Outlook\2FD3MVO5\&#1575;&#1604;&#1575;&#1588;&#1603;&#1575;&#160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693506789912134"/>
          <c:y val="0.10190837753564749"/>
          <c:w val="0.56500286960022617"/>
          <c:h val="0.93108139901042775"/>
        </c:manualLayout>
      </c:layout>
      <c:pieChart>
        <c:varyColors val="1"/>
        <c:ser>
          <c:idx val="0"/>
          <c:order val="0"/>
          <c:explosion val="11"/>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CA7A-4117-8A08-58452697A716}"/>
              </c:ext>
            </c:extLst>
          </c:dPt>
          <c:dPt>
            <c:idx val="1"/>
            <c:bubble3D val="0"/>
            <c:spPr>
              <a:solidFill>
                <a:srgbClr val="4BACC6">
                  <a:lumMod val="60000"/>
                  <a:lumOff val="40000"/>
                </a:srgbClr>
              </a:solidFill>
            </c:spPr>
            <c:extLst>
              <c:ext xmlns:c16="http://schemas.microsoft.com/office/drawing/2014/chart" uri="{C3380CC4-5D6E-409C-BE32-E72D297353CC}">
                <c16:uniqueId val="{00000003-CA7A-4117-8A08-58452697A716}"/>
              </c:ext>
            </c:extLst>
          </c:dPt>
          <c:dPt>
            <c:idx val="2"/>
            <c:bubble3D val="0"/>
            <c:spPr>
              <a:solidFill>
                <a:srgbClr val="C0504D">
                  <a:lumMod val="60000"/>
                  <a:lumOff val="40000"/>
                </a:srgbClr>
              </a:solidFill>
            </c:spPr>
            <c:extLst>
              <c:ext xmlns:c16="http://schemas.microsoft.com/office/drawing/2014/chart" uri="{C3380CC4-5D6E-409C-BE32-E72D297353CC}">
                <c16:uniqueId val="{00000005-CA7A-4117-8A08-58452697A716}"/>
              </c:ext>
            </c:extLst>
          </c:dPt>
          <c:dPt>
            <c:idx val="3"/>
            <c:bubble3D val="0"/>
            <c:spPr>
              <a:solidFill>
                <a:srgbClr val="C0504D">
                  <a:lumMod val="75000"/>
                </a:srgbClr>
              </a:solidFill>
            </c:spPr>
            <c:extLst>
              <c:ext xmlns:c16="http://schemas.microsoft.com/office/drawing/2014/chart" uri="{C3380CC4-5D6E-409C-BE32-E72D297353CC}">
                <c16:uniqueId val="{00000007-CA7A-4117-8A08-58452697A716}"/>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CA7A-4117-8A08-58452697A716}"/>
              </c:ext>
            </c:extLst>
          </c:dPt>
          <c:dLbls>
            <c:dLbl>
              <c:idx val="0"/>
              <c:layout>
                <c:manualLayout>
                  <c:x val="-0.17057272322091824"/>
                  <c:y val="6.3056909437949143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A7A-4117-8A08-58452697A716}"/>
                </c:ext>
              </c:extLst>
            </c:dLbl>
            <c:dLbl>
              <c:idx val="1"/>
              <c:layout>
                <c:manualLayout>
                  <c:x val="-6.9795095747093222E-2"/>
                  <c:y val="0.1487736796566909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A7A-4117-8A08-58452697A716}"/>
                </c:ext>
              </c:extLst>
            </c:dLbl>
            <c:dLbl>
              <c:idx val="2"/>
              <c:layout>
                <c:manualLayout>
                  <c:x val="-8.6726184425556532E-2"/>
                  <c:y val="0.1149893259477297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A7A-4117-8A08-58452697A716}"/>
                </c:ext>
              </c:extLst>
            </c:dLbl>
            <c:dLbl>
              <c:idx val="3"/>
              <c:layout>
                <c:manualLayout>
                  <c:x val="-8.5958917498768508E-2"/>
                  <c:y val="-4.622103766570868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A7A-4117-8A08-58452697A716}"/>
                </c:ext>
              </c:extLst>
            </c:dLbl>
            <c:dLbl>
              <c:idx val="4"/>
              <c:layout>
                <c:manualLayout>
                  <c:x val="3.6870059191955476E-2"/>
                  <c:y val="-0.1406783566742174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A7A-4117-8A08-58452697A716}"/>
                </c:ext>
              </c:extLst>
            </c:dLbl>
            <c:spPr>
              <a:noFill/>
              <a:ln>
                <a:noFill/>
              </a:ln>
              <a:effectLst/>
            </c:spPr>
            <c:txPr>
              <a:bodyPr/>
              <a:lstStyle/>
              <a:p>
                <a:pPr>
                  <a:defRPr sz="1000" b="1">
                    <a:solidFill>
                      <a:sysClr val="windowText" lastClr="000000"/>
                    </a:solidFill>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Sheet1!$B$312:$F$312</c:f>
              <c:strCache>
                <c:ptCount val="5"/>
                <c:pt idx="0">
                  <c:v>Very much</c:v>
                </c:pt>
                <c:pt idx="1">
                  <c:v>Somewhat</c:v>
                </c:pt>
                <c:pt idx="2">
                  <c:v>Slightly</c:v>
                </c:pt>
                <c:pt idx="3">
                  <c:v>Not at all</c:v>
                </c:pt>
                <c:pt idx="4">
                  <c:v>Don't know / Declined to answer</c:v>
                </c:pt>
              </c:strCache>
            </c:strRef>
          </c:cat>
          <c:val>
            <c:numRef>
              <c:f>Sheet1!$B$329:$F$329</c:f>
              <c:numCache>
                <c:formatCode>0</c:formatCode>
                <c:ptCount val="5"/>
                <c:pt idx="0">
                  <c:v>84.4375</c:v>
                </c:pt>
                <c:pt idx="1">
                  <c:v>11</c:v>
                </c:pt>
                <c:pt idx="2">
                  <c:v>2.375</c:v>
                </c:pt>
                <c:pt idx="3">
                  <c:v>2.125</c:v>
                </c:pt>
                <c:pt idx="4">
                  <c:v>0.875</c:v>
                </c:pt>
              </c:numCache>
            </c:numRef>
          </c:val>
          <c:extLst>
            <c:ext xmlns:c16="http://schemas.microsoft.com/office/drawing/2014/chart" uri="{C3380CC4-5D6E-409C-BE32-E72D297353CC}">
              <c16:uniqueId val="{0000000A-CA7A-4117-8A08-58452697A716}"/>
            </c:ext>
          </c:extLst>
        </c:ser>
        <c:dLbls>
          <c:showLegendKey val="0"/>
          <c:showVal val="0"/>
          <c:showCatName val="0"/>
          <c:showSerName val="0"/>
          <c:showPercent val="0"/>
          <c:showBubbleSize val="0"/>
          <c:showLeaderLines val="1"/>
        </c:dLbls>
        <c:firstSliceAng val="29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58563737469794"/>
          <c:y val="4.3600958534458487E-2"/>
          <c:w val="0.48934724636973242"/>
          <c:h val="0.89585079681456503"/>
        </c:manualLayout>
      </c:layout>
      <c:barChart>
        <c:barDir val="bar"/>
        <c:grouping val="stacked"/>
        <c:varyColors val="0"/>
        <c:ser>
          <c:idx val="0"/>
          <c:order val="0"/>
          <c:tx>
            <c:strRef>
              <c:f>Sheet1!$A$888</c:f>
              <c:strCache>
                <c:ptCount val="1"/>
                <c:pt idx="0">
                  <c:v>The Palestinian cause is a cause for all Arabs and not the Palestinian people alone</c:v>
                </c:pt>
              </c:strCache>
            </c:strRef>
          </c:tx>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F8C7-4C49-AA3F-A4EF7886BA36}"/>
              </c:ext>
            </c:extLst>
          </c:dPt>
          <c:dPt>
            <c:idx val="11"/>
            <c:invertIfNegative val="0"/>
            <c:bubble3D val="0"/>
            <c:extLst>
              <c:ext xmlns:c16="http://schemas.microsoft.com/office/drawing/2014/chart" uri="{C3380CC4-5D6E-409C-BE32-E72D297353CC}">
                <c16:uniqueId val="{00000002-F8C7-4C49-AA3F-A4EF7886BA36}"/>
              </c:ext>
            </c:extLst>
          </c:dPt>
          <c:dPt>
            <c:idx val="12"/>
            <c:invertIfNegative val="0"/>
            <c:bubble3D val="0"/>
            <c:extLst>
              <c:ext xmlns:c16="http://schemas.microsoft.com/office/drawing/2014/chart" uri="{C3380CC4-5D6E-409C-BE32-E72D297353CC}">
                <c16:uniqueId val="{00000003-F8C7-4C49-AA3F-A4EF7886BA36}"/>
              </c:ext>
            </c:extLst>
          </c:dPt>
          <c:dPt>
            <c:idx val="13"/>
            <c:invertIfNegative val="0"/>
            <c:bubble3D val="0"/>
            <c:extLst>
              <c:ext xmlns:c16="http://schemas.microsoft.com/office/drawing/2014/chart" uri="{C3380CC4-5D6E-409C-BE32-E72D297353CC}">
                <c16:uniqueId val="{00000004-F8C7-4C49-AA3F-A4EF7886BA36}"/>
              </c:ext>
            </c:extLst>
          </c:dPt>
          <c:dPt>
            <c:idx val="14"/>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6-F8C7-4C49-AA3F-A4EF7886BA36}"/>
              </c:ext>
            </c:extLst>
          </c:dPt>
          <c:dLbls>
            <c:dLbl>
              <c:idx val="8"/>
              <c:layout>
                <c:manualLayout>
                  <c:x val="-1.06094453400166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C7-4C49-AA3F-A4EF7886BA36}"/>
                </c:ext>
              </c:extLst>
            </c:dLbl>
            <c:dLbl>
              <c:idx val="11"/>
              <c:layout>
                <c:manualLayout>
                  <c:x val="4.0383644623926936E-3"/>
                  <c:y val="-4.2731677771047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C7-4C49-AA3F-A4EF7886BA36}"/>
                </c:ext>
              </c:extLst>
            </c:dLbl>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Sheet1!$B$887:$J$887</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Sheet1!$B$888:$J$888</c:f>
              <c:numCache>
                <c:formatCode>###0</c:formatCode>
                <c:ptCount val="9"/>
                <c:pt idx="0" formatCode="General">
                  <c:v>92</c:v>
                </c:pt>
                <c:pt idx="1">
                  <c:v>76.214285714285708</c:v>
                </c:pt>
                <c:pt idx="2" formatCode="0">
                  <c:v>79</c:v>
                </c:pt>
                <c:pt idx="3">
                  <c:v>77.126275388114294</c:v>
                </c:pt>
                <c:pt idx="4">
                  <c:v>74.965805080802355</c:v>
                </c:pt>
                <c:pt idx="5">
                  <c:v>74.538613235754823</c:v>
                </c:pt>
                <c:pt idx="6">
                  <c:v>76.709315297506109</c:v>
                </c:pt>
                <c:pt idx="7">
                  <c:v>84.011514455659551</c:v>
                </c:pt>
                <c:pt idx="8">
                  <c:v>84.09808824479677</c:v>
                </c:pt>
              </c:numCache>
            </c:numRef>
          </c:val>
          <c:extLst>
            <c:ext xmlns:c16="http://schemas.microsoft.com/office/drawing/2014/chart" uri="{C3380CC4-5D6E-409C-BE32-E72D297353CC}">
              <c16:uniqueId val="{00000007-F8C7-4C49-AA3F-A4EF7886BA36}"/>
            </c:ext>
          </c:extLst>
        </c:ser>
        <c:ser>
          <c:idx val="1"/>
          <c:order val="1"/>
          <c:tx>
            <c:strRef>
              <c:f>Sheet1!$A$889</c:f>
              <c:strCache>
                <c:ptCount val="1"/>
                <c:pt idx="0">
                  <c:v>The Palestinian cause is a cause of the Palestinians solely, and they alone should work to resolve it</c:v>
                </c:pt>
              </c:strCache>
            </c:strRef>
          </c:tx>
          <c:spPr>
            <a:solidFill>
              <a:schemeClr val="accent5">
                <a:lumMod val="40000"/>
                <a:lumOff val="60000"/>
              </a:schemeClr>
            </a:solidFill>
            <a:ln>
              <a:noFill/>
            </a:ln>
            <a:effectLst>
              <a:outerShdw blurRad="50800" dist="12700" dir="5400000" algn="t" rotWithShape="0">
                <a:prstClr val="black">
                  <a:alpha val="30000"/>
                </a:prstClr>
              </a:outerShdw>
            </a:effectLst>
          </c:spPr>
          <c:invertIfNegative val="0"/>
          <c:dPt>
            <c:idx val="8"/>
            <c:invertIfNegative val="0"/>
            <c:bubble3D val="0"/>
            <c:spPr>
              <a:solidFill>
                <a:schemeClr val="accent5">
                  <a:lumMod val="40000"/>
                  <a:lumOff val="60000"/>
                </a:scheme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9-F8C7-4C49-AA3F-A4EF7886BA36}"/>
              </c:ext>
            </c:extLst>
          </c:dPt>
          <c:dPt>
            <c:idx val="11"/>
            <c:invertIfNegative val="0"/>
            <c:bubble3D val="0"/>
            <c:extLst>
              <c:ext xmlns:c16="http://schemas.microsoft.com/office/drawing/2014/chart" uri="{C3380CC4-5D6E-409C-BE32-E72D297353CC}">
                <c16:uniqueId val="{0000000A-F8C7-4C49-AA3F-A4EF7886BA36}"/>
              </c:ext>
            </c:extLst>
          </c:dPt>
          <c:dPt>
            <c:idx val="12"/>
            <c:invertIfNegative val="0"/>
            <c:bubble3D val="0"/>
            <c:extLst>
              <c:ext xmlns:c16="http://schemas.microsoft.com/office/drawing/2014/chart" uri="{C3380CC4-5D6E-409C-BE32-E72D297353CC}">
                <c16:uniqueId val="{0000000B-F8C7-4C49-AA3F-A4EF7886BA36}"/>
              </c:ext>
            </c:extLst>
          </c:dPt>
          <c:dPt>
            <c:idx val="13"/>
            <c:invertIfNegative val="0"/>
            <c:bubble3D val="0"/>
            <c:extLst>
              <c:ext xmlns:c16="http://schemas.microsoft.com/office/drawing/2014/chart" uri="{C3380CC4-5D6E-409C-BE32-E72D297353CC}">
                <c16:uniqueId val="{0000000C-F8C7-4C49-AA3F-A4EF7886BA36}"/>
              </c:ext>
            </c:extLst>
          </c:dPt>
          <c:dPt>
            <c:idx val="14"/>
            <c:invertIfNegative val="0"/>
            <c:bubble3D val="0"/>
            <c:spPr>
              <a:solidFill>
                <a:schemeClr val="accent5">
                  <a:lumMod val="40000"/>
                  <a:lumOff val="60000"/>
                </a:scheme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E-F8C7-4C49-AA3F-A4EF7886BA36}"/>
              </c:ext>
            </c:extLst>
          </c:dPt>
          <c:dLbls>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Sheet1!$B$887:$J$887</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Sheet1!$B$889:$J$889</c:f>
              <c:numCache>
                <c:formatCode>###0</c:formatCode>
                <c:ptCount val="9"/>
                <c:pt idx="0" formatCode="General">
                  <c:v>6</c:v>
                </c:pt>
                <c:pt idx="1">
                  <c:v>16.071428571428573</c:v>
                </c:pt>
                <c:pt idx="2" formatCode="0">
                  <c:v>15</c:v>
                </c:pt>
                <c:pt idx="3">
                  <c:v>15.329695572716419</c:v>
                </c:pt>
                <c:pt idx="4">
                  <c:v>16.755827308829307</c:v>
                </c:pt>
                <c:pt idx="5">
                  <c:v>18.04256377807878</c:v>
                </c:pt>
                <c:pt idx="6">
                  <c:v>14.278013348827351</c:v>
                </c:pt>
                <c:pt idx="7">
                  <c:v>8.4862620709951671</c:v>
                </c:pt>
                <c:pt idx="8">
                  <c:v>8.5168773732472811</c:v>
                </c:pt>
              </c:numCache>
            </c:numRef>
          </c:val>
          <c:extLst>
            <c:ext xmlns:c16="http://schemas.microsoft.com/office/drawing/2014/chart" uri="{C3380CC4-5D6E-409C-BE32-E72D297353CC}">
              <c16:uniqueId val="{0000000F-F8C7-4C49-AA3F-A4EF7886BA36}"/>
            </c:ext>
          </c:extLst>
        </c:ser>
        <c:ser>
          <c:idx val="2"/>
          <c:order val="2"/>
          <c:tx>
            <c:strRef>
              <c:f>Sheet1!$A$890</c:f>
              <c:strCache>
                <c:ptCount val="1"/>
                <c:pt idx="0">
                  <c:v>I do not agree with either one of the above two statements</c:v>
                </c:pt>
              </c:strCache>
            </c:strRef>
          </c:tx>
          <c:spPr>
            <a:solidFill>
              <a:srgbClr val="C00000"/>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C00000"/>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1-F8C7-4C49-AA3F-A4EF7886BA36}"/>
              </c:ext>
            </c:extLst>
          </c:dPt>
          <c:dPt>
            <c:idx val="11"/>
            <c:invertIfNegative val="0"/>
            <c:bubble3D val="0"/>
            <c:extLst>
              <c:ext xmlns:c16="http://schemas.microsoft.com/office/drawing/2014/chart" uri="{C3380CC4-5D6E-409C-BE32-E72D297353CC}">
                <c16:uniqueId val="{00000012-F8C7-4C49-AA3F-A4EF7886BA36}"/>
              </c:ext>
            </c:extLst>
          </c:dPt>
          <c:dPt>
            <c:idx val="12"/>
            <c:invertIfNegative val="0"/>
            <c:bubble3D val="0"/>
            <c:extLst>
              <c:ext xmlns:c16="http://schemas.microsoft.com/office/drawing/2014/chart" uri="{C3380CC4-5D6E-409C-BE32-E72D297353CC}">
                <c16:uniqueId val="{00000013-F8C7-4C49-AA3F-A4EF7886BA36}"/>
              </c:ext>
            </c:extLst>
          </c:dPt>
          <c:dPt>
            <c:idx val="13"/>
            <c:invertIfNegative val="0"/>
            <c:bubble3D val="0"/>
            <c:extLst>
              <c:ext xmlns:c16="http://schemas.microsoft.com/office/drawing/2014/chart" uri="{C3380CC4-5D6E-409C-BE32-E72D297353CC}">
                <c16:uniqueId val="{00000014-F8C7-4C49-AA3F-A4EF7886BA36}"/>
              </c:ext>
            </c:extLst>
          </c:dPt>
          <c:dPt>
            <c:idx val="14"/>
            <c:invertIfNegative val="0"/>
            <c:bubble3D val="0"/>
            <c:spPr>
              <a:solidFill>
                <a:srgbClr val="C00000"/>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6-F8C7-4C49-AA3F-A4EF7886BA36}"/>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Sheet1!$B$887:$J$887</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Sheet1!$B$890:$J$890</c:f>
              <c:numCache>
                <c:formatCode>###0</c:formatCode>
                <c:ptCount val="9"/>
                <c:pt idx="0" formatCode="General">
                  <c:v>2</c:v>
                </c:pt>
                <c:pt idx="1">
                  <c:v>4.7857142857142856</c:v>
                </c:pt>
                <c:pt idx="2" formatCode="0">
                  <c:v>4</c:v>
                </c:pt>
                <c:pt idx="3">
                  <c:v>4.8434694981237323</c:v>
                </c:pt>
                <c:pt idx="4">
                  <c:v>4.8285113180798716</c:v>
                </c:pt>
                <c:pt idx="5">
                  <c:v>4.156996887577006</c:v>
                </c:pt>
                <c:pt idx="6">
                  <c:v>4.2475353464614329</c:v>
                </c:pt>
                <c:pt idx="7">
                  <c:v>3.6704966189692105</c:v>
                </c:pt>
                <c:pt idx="8">
                  <c:v>1.1295965179950458</c:v>
                </c:pt>
              </c:numCache>
            </c:numRef>
          </c:val>
          <c:extLst>
            <c:ext xmlns:c16="http://schemas.microsoft.com/office/drawing/2014/chart" uri="{C3380CC4-5D6E-409C-BE32-E72D297353CC}">
              <c16:uniqueId val="{00000017-F8C7-4C49-AA3F-A4EF7886BA36}"/>
            </c:ext>
          </c:extLst>
        </c:ser>
        <c:ser>
          <c:idx val="3"/>
          <c:order val="3"/>
          <c:tx>
            <c:strRef>
              <c:f>Sheet1!$A$891</c:f>
              <c:strCache>
                <c:ptCount val="1"/>
                <c:pt idx="0">
                  <c:v>Don't know / Declined to answer</c:v>
                </c:pt>
              </c:strCache>
            </c:strRef>
          </c:tx>
          <c:spPr>
            <a:solidFill>
              <a:sysClr val="window" lastClr="FFFFFF">
                <a:lumMod val="85000"/>
              </a:sysClr>
            </a:solidFill>
            <a:ln>
              <a:noFill/>
            </a:ln>
            <a:effectLst>
              <a:outerShdw blurRad="50800" dist="12700" dir="5400000" algn="t" rotWithShape="0">
                <a:schemeClr val="tx1">
                  <a:lumMod val="95000"/>
                  <a:lumOff val="5000"/>
                  <a:alpha val="30000"/>
                </a:schemeClr>
              </a:outerShdw>
            </a:effectLst>
          </c:spPr>
          <c:invertIfNegative val="0"/>
          <c:dPt>
            <c:idx val="8"/>
            <c:invertIfNegative val="0"/>
            <c:bubble3D val="0"/>
            <c:spPr>
              <a:solidFill>
                <a:sysClr val="window" lastClr="FFFFFF">
                  <a:lumMod val="85000"/>
                </a:sysClr>
              </a:solidFill>
              <a:ln w="12700">
                <a:noFill/>
              </a:ln>
              <a:effectLst>
                <a:outerShdw blurRad="50800" dist="12700" dir="5400000" algn="t" rotWithShape="0">
                  <a:schemeClr val="tx1">
                    <a:lumMod val="95000"/>
                    <a:lumOff val="5000"/>
                    <a:alpha val="30000"/>
                  </a:schemeClr>
                </a:outerShdw>
              </a:effectLst>
            </c:spPr>
            <c:extLst>
              <c:ext xmlns:c16="http://schemas.microsoft.com/office/drawing/2014/chart" uri="{C3380CC4-5D6E-409C-BE32-E72D297353CC}">
                <c16:uniqueId val="{00000019-F8C7-4C49-AA3F-A4EF7886BA36}"/>
              </c:ext>
            </c:extLst>
          </c:dPt>
          <c:dPt>
            <c:idx val="11"/>
            <c:invertIfNegative val="0"/>
            <c:bubble3D val="0"/>
            <c:extLst>
              <c:ext xmlns:c16="http://schemas.microsoft.com/office/drawing/2014/chart" uri="{C3380CC4-5D6E-409C-BE32-E72D297353CC}">
                <c16:uniqueId val="{0000001A-F8C7-4C49-AA3F-A4EF7886BA36}"/>
              </c:ext>
            </c:extLst>
          </c:dPt>
          <c:dPt>
            <c:idx val="12"/>
            <c:invertIfNegative val="0"/>
            <c:bubble3D val="0"/>
            <c:extLst>
              <c:ext xmlns:c16="http://schemas.microsoft.com/office/drawing/2014/chart" uri="{C3380CC4-5D6E-409C-BE32-E72D297353CC}">
                <c16:uniqueId val="{0000001B-F8C7-4C49-AA3F-A4EF7886BA36}"/>
              </c:ext>
            </c:extLst>
          </c:dPt>
          <c:dPt>
            <c:idx val="13"/>
            <c:invertIfNegative val="0"/>
            <c:bubble3D val="0"/>
            <c:extLst>
              <c:ext xmlns:c16="http://schemas.microsoft.com/office/drawing/2014/chart" uri="{C3380CC4-5D6E-409C-BE32-E72D297353CC}">
                <c16:uniqueId val="{0000001C-F8C7-4C49-AA3F-A4EF7886BA36}"/>
              </c:ext>
            </c:extLst>
          </c:dPt>
          <c:dPt>
            <c:idx val="14"/>
            <c:invertIfNegative val="0"/>
            <c:bubble3D val="0"/>
            <c:spPr>
              <a:solidFill>
                <a:sysClr val="window" lastClr="FFFFFF">
                  <a:lumMod val="85000"/>
                </a:sysClr>
              </a:solidFill>
              <a:ln>
                <a:solidFill>
                  <a:sysClr val="windowText" lastClr="000000"/>
                </a:solidFill>
              </a:ln>
              <a:effectLst>
                <a:outerShdw blurRad="50800" dist="12700" dir="5400000" algn="t" rotWithShape="0">
                  <a:schemeClr val="tx1">
                    <a:lumMod val="95000"/>
                    <a:lumOff val="5000"/>
                    <a:alpha val="30000"/>
                  </a:schemeClr>
                </a:outerShdw>
              </a:effectLst>
            </c:spPr>
            <c:extLst>
              <c:ext xmlns:c16="http://schemas.microsoft.com/office/drawing/2014/chart" uri="{C3380CC4-5D6E-409C-BE32-E72D297353CC}">
                <c16:uniqueId val="{0000001E-F8C7-4C49-AA3F-A4EF7886BA36}"/>
              </c:ext>
            </c:extLst>
          </c:dPt>
          <c:dLbls>
            <c:dLbl>
              <c:idx val="13"/>
              <c:layout>
                <c:manualLayout>
                  <c:x val="1.93663460347532E-2"/>
                  <c:y val="7.349141659833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8C7-4C49-AA3F-A4EF7886BA36}"/>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Sheet1!$B$887:$J$887</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Sheet1!$B$891:$J$891</c:f>
              <c:numCache>
                <c:formatCode>###0</c:formatCode>
                <c:ptCount val="9"/>
                <c:pt idx="0" formatCode="General">
                  <c:v>0</c:v>
                </c:pt>
                <c:pt idx="1">
                  <c:v>2.9285714285714284</c:v>
                </c:pt>
                <c:pt idx="2" formatCode="0">
                  <c:v>2</c:v>
                </c:pt>
                <c:pt idx="3">
                  <c:v>2.7005595410449184</c:v>
                </c:pt>
                <c:pt idx="4">
                  <c:v>3.4498562923034597</c:v>
                </c:pt>
                <c:pt idx="5">
                  <c:v>3.2618260985888199</c:v>
                </c:pt>
                <c:pt idx="6">
                  <c:v>5</c:v>
                </c:pt>
                <c:pt idx="7">
                  <c:v>3.8317268543764511</c:v>
                </c:pt>
                <c:pt idx="8">
                  <c:v>6</c:v>
                </c:pt>
              </c:numCache>
            </c:numRef>
          </c:val>
          <c:extLst>
            <c:ext xmlns:c16="http://schemas.microsoft.com/office/drawing/2014/chart" uri="{C3380CC4-5D6E-409C-BE32-E72D297353CC}">
              <c16:uniqueId val="{0000001F-F8C7-4C49-AA3F-A4EF7886BA36}"/>
            </c:ext>
          </c:extLst>
        </c:ser>
        <c:dLbls>
          <c:showLegendKey val="0"/>
          <c:showVal val="0"/>
          <c:showCatName val="0"/>
          <c:showSerName val="0"/>
          <c:showPercent val="0"/>
          <c:showBubbleSize val="0"/>
        </c:dLbls>
        <c:gapWidth val="40"/>
        <c:overlap val="100"/>
        <c:axId val="103103872"/>
        <c:axId val="103130240"/>
      </c:barChart>
      <c:catAx>
        <c:axId val="103103872"/>
        <c:scaling>
          <c:orientation val="maxMin"/>
        </c:scaling>
        <c:delete val="0"/>
        <c:axPos val="l"/>
        <c:numFmt formatCode="General" sourceLinked="1"/>
        <c:majorTickMark val="out"/>
        <c:minorTickMark val="none"/>
        <c:tickLblPos val="nextTo"/>
        <c:txPr>
          <a:bodyPr/>
          <a:lstStyle/>
          <a:p>
            <a:pPr>
              <a:defRPr b="1"/>
            </a:pPr>
            <a:endParaRPr lang="en-US"/>
          </a:p>
        </c:txPr>
        <c:crossAx val="103130240"/>
        <c:crosses val="autoZero"/>
        <c:auto val="1"/>
        <c:lblAlgn val="ctr"/>
        <c:lblOffset val="100"/>
        <c:noMultiLvlLbl val="0"/>
      </c:catAx>
      <c:valAx>
        <c:axId val="103130240"/>
        <c:scaling>
          <c:orientation val="minMax"/>
          <c:max val="100"/>
          <c:min val="0"/>
        </c:scaling>
        <c:delete val="0"/>
        <c:axPos val="t"/>
        <c:numFmt formatCode="General" sourceLinked="1"/>
        <c:majorTickMark val="out"/>
        <c:minorTickMark val="none"/>
        <c:tickLblPos val="nextTo"/>
        <c:crossAx val="103103872"/>
        <c:crosses val="autoZero"/>
        <c:crossBetween val="between"/>
        <c:majorUnit val="10"/>
      </c:valAx>
      <c:spPr>
        <a:noFill/>
        <a:ln w="25400">
          <a:noFill/>
        </a:ln>
      </c:spPr>
    </c:plotArea>
    <c:legend>
      <c:legendPos val="b"/>
      <c:layout>
        <c:manualLayout>
          <c:xMode val="edge"/>
          <c:yMode val="edge"/>
          <c:x val="1.0685114262032908E-4"/>
          <c:y val="7.120038232128717E-2"/>
          <c:w val="0.2700099371562637"/>
          <c:h val="0.88003062216935668"/>
        </c:manualLayout>
      </c:layout>
      <c:overlay val="0"/>
      <c:spPr>
        <a:solidFill>
          <a:schemeClr val="bg1">
            <a:lumMod val="95000"/>
          </a:schemeClr>
        </a:solidFill>
        <a:ln w="127000" cap="rnd">
          <a:solidFill>
            <a:schemeClr val="bg1">
              <a:lumMod val="95000"/>
            </a:schemeClr>
          </a:solidFill>
        </a:ln>
      </c:spPr>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5161854768154"/>
          <c:y val="4.3600958534458487E-2"/>
          <c:w val="0.77238134295713035"/>
          <c:h val="0.76645725171896861"/>
        </c:manualLayout>
      </c:layout>
      <c:barChart>
        <c:barDir val="bar"/>
        <c:grouping val="stacked"/>
        <c:varyColors val="0"/>
        <c:ser>
          <c:idx val="0"/>
          <c:order val="0"/>
          <c:tx>
            <c:strRef>
              <c:f>Sheet1!$A$1099</c:f>
              <c:strCache>
                <c:ptCount val="1"/>
                <c:pt idx="0">
                  <c:v>Agree</c:v>
                </c:pt>
              </c:strCache>
            </c:strRef>
          </c:tx>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AA66-49CD-9316-5F2B922D8D3E}"/>
              </c:ext>
            </c:extLst>
          </c:dPt>
          <c:dPt>
            <c:idx val="11"/>
            <c:invertIfNegative val="0"/>
            <c:bubble3D val="0"/>
            <c:extLst>
              <c:ext xmlns:c16="http://schemas.microsoft.com/office/drawing/2014/chart" uri="{C3380CC4-5D6E-409C-BE32-E72D297353CC}">
                <c16:uniqueId val="{00000002-AA66-49CD-9316-5F2B922D8D3E}"/>
              </c:ext>
            </c:extLst>
          </c:dPt>
          <c:dPt>
            <c:idx val="12"/>
            <c:invertIfNegative val="0"/>
            <c:bubble3D val="0"/>
            <c:extLst>
              <c:ext xmlns:c16="http://schemas.microsoft.com/office/drawing/2014/chart" uri="{C3380CC4-5D6E-409C-BE32-E72D297353CC}">
                <c16:uniqueId val="{00000003-AA66-49CD-9316-5F2B922D8D3E}"/>
              </c:ext>
            </c:extLst>
          </c:dPt>
          <c:dPt>
            <c:idx val="13"/>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5-AA66-49CD-9316-5F2B922D8D3E}"/>
              </c:ext>
            </c:extLst>
          </c:dPt>
          <c:dPt>
            <c:idx val="14"/>
            <c:invertIfNegative val="0"/>
            <c:bubble3D val="0"/>
            <c:extLst>
              <c:ext xmlns:c16="http://schemas.microsoft.com/office/drawing/2014/chart" uri="{C3380CC4-5D6E-409C-BE32-E72D297353CC}">
                <c16:uniqueId val="{00000006-AA66-49CD-9316-5F2B922D8D3E}"/>
              </c:ext>
            </c:extLst>
          </c:dPt>
          <c:dLbls>
            <c:dLbl>
              <c:idx val="8"/>
              <c:layout>
                <c:manualLayout>
                  <c:x val="-1.06094453400166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66-49CD-9316-5F2B922D8D3E}"/>
                </c:ext>
              </c:extLst>
            </c:dLbl>
            <c:dLbl>
              <c:idx val="11"/>
              <c:layout>
                <c:manualLayout>
                  <c:x val="4.0383644623926936E-3"/>
                  <c:y val="-4.2731677771047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66-49CD-9316-5F2B922D8D3E}"/>
                </c:ext>
              </c:extLst>
            </c:dLbl>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Sheet1!$B$1098:$J$1098</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Sheet1!$B$1099:$J$1099</c:f>
              <c:numCache>
                <c:formatCode>###0</c:formatCode>
                <c:ptCount val="9"/>
                <c:pt idx="0" formatCode="General">
                  <c:v>4</c:v>
                </c:pt>
                <c:pt idx="1">
                  <c:v>8</c:v>
                </c:pt>
                <c:pt idx="2">
                  <c:v>6</c:v>
                </c:pt>
                <c:pt idx="3">
                  <c:v>8</c:v>
                </c:pt>
                <c:pt idx="4">
                  <c:v>9.45453909583604</c:v>
                </c:pt>
                <c:pt idx="5">
                  <c:v>8.9025473396632311</c:v>
                </c:pt>
                <c:pt idx="6">
                  <c:v>5.6655233095234294</c:v>
                </c:pt>
                <c:pt idx="7">
                  <c:v>6.3024412431418027</c:v>
                </c:pt>
                <c:pt idx="8">
                  <c:v>8.9776831501019654</c:v>
                </c:pt>
              </c:numCache>
            </c:numRef>
          </c:val>
          <c:extLst>
            <c:ext xmlns:c16="http://schemas.microsoft.com/office/drawing/2014/chart" uri="{C3380CC4-5D6E-409C-BE32-E72D297353CC}">
              <c16:uniqueId val="{00000007-AA66-49CD-9316-5F2B922D8D3E}"/>
            </c:ext>
          </c:extLst>
        </c:ser>
        <c:ser>
          <c:idx val="1"/>
          <c:order val="1"/>
          <c:tx>
            <c:strRef>
              <c:f>Sheet1!$A$1100</c:f>
              <c:strCache>
                <c:ptCount val="1"/>
                <c:pt idx="0">
                  <c:v>Disagree</c:v>
                </c:pt>
              </c:strCache>
            </c:strRef>
          </c:tx>
          <c:spPr>
            <a:solidFill>
              <a:srgbClr val="C00000"/>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C00000"/>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9-AA66-49CD-9316-5F2B922D8D3E}"/>
              </c:ext>
            </c:extLst>
          </c:dPt>
          <c:dPt>
            <c:idx val="11"/>
            <c:invertIfNegative val="0"/>
            <c:bubble3D val="0"/>
            <c:extLst>
              <c:ext xmlns:c16="http://schemas.microsoft.com/office/drawing/2014/chart" uri="{C3380CC4-5D6E-409C-BE32-E72D297353CC}">
                <c16:uniqueId val="{0000000A-AA66-49CD-9316-5F2B922D8D3E}"/>
              </c:ext>
            </c:extLst>
          </c:dPt>
          <c:dPt>
            <c:idx val="12"/>
            <c:invertIfNegative val="0"/>
            <c:bubble3D val="0"/>
            <c:extLst>
              <c:ext xmlns:c16="http://schemas.microsoft.com/office/drawing/2014/chart" uri="{C3380CC4-5D6E-409C-BE32-E72D297353CC}">
                <c16:uniqueId val="{0000000B-AA66-49CD-9316-5F2B922D8D3E}"/>
              </c:ext>
            </c:extLst>
          </c:dPt>
          <c:dPt>
            <c:idx val="13"/>
            <c:invertIfNegative val="0"/>
            <c:bubble3D val="0"/>
            <c:spPr>
              <a:solidFill>
                <a:srgbClr val="C00000"/>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D-AA66-49CD-9316-5F2B922D8D3E}"/>
              </c:ext>
            </c:extLst>
          </c:dPt>
          <c:dPt>
            <c:idx val="14"/>
            <c:invertIfNegative val="0"/>
            <c:bubble3D val="0"/>
            <c:extLst>
              <c:ext xmlns:c16="http://schemas.microsoft.com/office/drawing/2014/chart" uri="{C3380CC4-5D6E-409C-BE32-E72D297353CC}">
                <c16:uniqueId val="{0000000E-AA66-49CD-9316-5F2B922D8D3E}"/>
              </c:ext>
            </c:extLst>
          </c:dPt>
          <c:dLbls>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Sheet1!$B$1098:$J$1098</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Sheet1!$B$1100:$J$1100</c:f>
              <c:numCache>
                <c:formatCode>###0</c:formatCode>
                <c:ptCount val="9"/>
                <c:pt idx="0" formatCode="General">
                  <c:v>89</c:v>
                </c:pt>
                <c:pt idx="1">
                  <c:v>84</c:v>
                </c:pt>
                <c:pt idx="2">
                  <c:v>88</c:v>
                </c:pt>
                <c:pt idx="3">
                  <c:v>87</c:v>
                </c:pt>
                <c:pt idx="4">
                  <c:v>85.886043200754003</c:v>
                </c:pt>
                <c:pt idx="5">
                  <c:v>85.383997828852529</c:v>
                </c:pt>
                <c:pt idx="6">
                  <c:v>87.409172957864016</c:v>
                </c:pt>
                <c:pt idx="7">
                  <c:v>87.362095003516359</c:v>
                </c:pt>
                <c:pt idx="8">
                  <c:v>83.699922703156787</c:v>
                </c:pt>
              </c:numCache>
            </c:numRef>
          </c:val>
          <c:extLst>
            <c:ext xmlns:c16="http://schemas.microsoft.com/office/drawing/2014/chart" uri="{C3380CC4-5D6E-409C-BE32-E72D297353CC}">
              <c16:uniqueId val="{0000000F-AA66-49CD-9316-5F2B922D8D3E}"/>
            </c:ext>
          </c:extLst>
        </c:ser>
        <c:ser>
          <c:idx val="2"/>
          <c:order val="2"/>
          <c:tx>
            <c:strRef>
              <c:f>Sheet1!$A$1101</c:f>
              <c:strCache>
                <c:ptCount val="1"/>
                <c:pt idx="0">
                  <c:v>Don't know / Declined to answer </c:v>
                </c:pt>
              </c:strCache>
            </c:strRef>
          </c:tx>
          <c:spPr>
            <a:solidFill>
              <a:sysClr val="window" lastClr="FFFFFF">
                <a:lumMod val="85000"/>
              </a:sysClr>
            </a:solidFill>
            <a:ln>
              <a:noFill/>
            </a:ln>
            <a:effectLst>
              <a:outerShdw blurRad="50800" dist="12700" dir="5400000" algn="t" rotWithShape="0">
                <a:prstClr val="black">
                  <a:alpha val="30000"/>
                </a:prstClr>
              </a:outerShdw>
            </a:effectLst>
          </c:spPr>
          <c:invertIfNegative val="0"/>
          <c:dPt>
            <c:idx val="8"/>
            <c:invertIfNegative val="0"/>
            <c:bubble3D val="0"/>
            <c:spPr>
              <a:solidFill>
                <a:sysClr val="window" lastClr="FFFFFF">
                  <a:lumMod val="85000"/>
                </a:sys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1-AA66-49CD-9316-5F2B922D8D3E}"/>
              </c:ext>
            </c:extLst>
          </c:dPt>
          <c:dPt>
            <c:idx val="11"/>
            <c:invertIfNegative val="0"/>
            <c:bubble3D val="0"/>
            <c:extLst>
              <c:ext xmlns:c16="http://schemas.microsoft.com/office/drawing/2014/chart" uri="{C3380CC4-5D6E-409C-BE32-E72D297353CC}">
                <c16:uniqueId val="{00000012-AA66-49CD-9316-5F2B922D8D3E}"/>
              </c:ext>
            </c:extLst>
          </c:dPt>
          <c:dPt>
            <c:idx val="12"/>
            <c:invertIfNegative val="0"/>
            <c:bubble3D val="0"/>
            <c:extLst>
              <c:ext xmlns:c16="http://schemas.microsoft.com/office/drawing/2014/chart" uri="{C3380CC4-5D6E-409C-BE32-E72D297353CC}">
                <c16:uniqueId val="{00000013-AA66-49CD-9316-5F2B922D8D3E}"/>
              </c:ext>
            </c:extLst>
          </c:dPt>
          <c:dPt>
            <c:idx val="13"/>
            <c:invertIfNegative val="0"/>
            <c:bubble3D val="0"/>
            <c:spPr>
              <a:solidFill>
                <a:sysClr val="window" lastClr="FFFFFF">
                  <a:lumMod val="85000"/>
                </a:sys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5-AA66-49CD-9316-5F2B922D8D3E}"/>
              </c:ext>
            </c:extLst>
          </c:dPt>
          <c:dPt>
            <c:idx val="14"/>
            <c:invertIfNegative val="0"/>
            <c:bubble3D val="0"/>
            <c:extLst>
              <c:ext xmlns:c16="http://schemas.microsoft.com/office/drawing/2014/chart" uri="{C3380CC4-5D6E-409C-BE32-E72D297353CC}">
                <c16:uniqueId val="{00000016-AA66-49CD-9316-5F2B922D8D3E}"/>
              </c:ext>
            </c:extLst>
          </c:dPt>
          <c:dLbls>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Sheet1!$B$1098:$J$1098</c:f>
              <c:strCache>
                <c:ptCount val="9"/>
                <c:pt idx="0">
                  <c:v>Gaza War</c:v>
                </c:pt>
                <c:pt idx="1">
                  <c:v>2022</c:v>
                </c:pt>
                <c:pt idx="2">
                  <c:v>2019/2020</c:v>
                </c:pt>
                <c:pt idx="3">
                  <c:v>2017/2018</c:v>
                </c:pt>
                <c:pt idx="4">
                  <c:v>2016</c:v>
                </c:pt>
                <c:pt idx="5">
                  <c:v>2015</c:v>
                </c:pt>
                <c:pt idx="6">
                  <c:v>2014</c:v>
                </c:pt>
                <c:pt idx="7">
                  <c:v>2012/2013</c:v>
                </c:pt>
                <c:pt idx="8">
                  <c:v>2011</c:v>
                </c:pt>
              </c:strCache>
            </c:strRef>
          </c:cat>
          <c:val>
            <c:numRef>
              <c:f>Sheet1!$B$1101:$J$1101</c:f>
              <c:numCache>
                <c:formatCode>###0</c:formatCode>
                <c:ptCount val="9"/>
                <c:pt idx="0" formatCode="General">
                  <c:v>7</c:v>
                </c:pt>
                <c:pt idx="1">
                  <c:v>8</c:v>
                </c:pt>
                <c:pt idx="2">
                  <c:v>6</c:v>
                </c:pt>
                <c:pt idx="3">
                  <c:v>5</c:v>
                </c:pt>
                <c:pt idx="4">
                  <c:v>4.659417703413637</c:v>
                </c:pt>
                <c:pt idx="5">
                  <c:v>5.713454831483376</c:v>
                </c:pt>
                <c:pt idx="6">
                  <c:v>7</c:v>
                </c:pt>
                <c:pt idx="7">
                  <c:v>6.335463753342359</c:v>
                </c:pt>
                <c:pt idx="8">
                  <c:v>7</c:v>
                </c:pt>
              </c:numCache>
            </c:numRef>
          </c:val>
          <c:extLst>
            <c:ext xmlns:c16="http://schemas.microsoft.com/office/drawing/2014/chart" uri="{C3380CC4-5D6E-409C-BE32-E72D297353CC}">
              <c16:uniqueId val="{00000017-AA66-49CD-9316-5F2B922D8D3E}"/>
            </c:ext>
          </c:extLst>
        </c:ser>
        <c:dLbls>
          <c:showLegendKey val="0"/>
          <c:showVal val="0"/>
          <c:showCatName val="0"/>
          <c:showSerName val="0"/>
          <c:showPercent val="0"/>
          <c:showBubbleSize val="0"/>
        </c:dLbls>
        <c:gapWidth val="40"/>
        <c:overlap val="100"/>
        <c:axId val="103103872"/>
        <c:axId val="103130240"/>
      </c:barChart>
      <c:catAx>
        <c:axId val="103103872"/>
        <c:scaling>
          <c:orientation val="maxMin"/>
        </c:scaling>
        <c:delete val="0"/>
        <c:axPos val="l"/>
        <c:numFmt formatCode="General" sourceLinked="1"/>
        <c:majorTickMark val="out"/>
        <c:minorTickMark val="none"/>
        <c:tickLblPos val="nextTo"/>
        <c:txPr>
          <a:bodyPr/>
          <a:lstStyle/>
          <a:p>
            <a:pPr>
              <a:defRPr b="1"/>
            </a:pPr>
            <a:endParaRPr lang="en-US"/>
          </a:p>
        </c:txPr>
        <c:crossAx val="103130240"/>
        <c:crosses val="autoZero"/>
        <c:auto val="1"/>
        <c:lblAlgn val="ctr"/>
        <c:lblOffset val="100"/>
        <c:noMultiLvlLbl val="0"/>
      </c:catAx>
      <c:valAx>
        <c:axId val="103130240"/>
        <c:scaling>
          <c:orientation val="minMax"/>
          <c:max val="100"/>
          <c:min val="0"/>
        </c:scaling>
        <c:delete val="0"/>
        <c:axPos val="t"/>
        <c:numFmt formatCode="General" sourceLinked="1"/>
        <c:majorTickMark val="out"/>
        <c:minorTickMark val="none"/>
        <c:tickLblPos val="nextTo"/>
        <c:crossAx val="103103872"/>
        <c:crosses val="autoZero"/>
        <c:crossBetween val="between"/>
        <c:majorUnit val="10"/>
      </c:valAx>
      <c:spPr>
        <a:noFill/>
        <a:ln w="25400">
          <a:noFill/>
        </a:ln>
      </c:spPr>
    </c:plotArea>
    <c:legend>
      <c:legendPos val="b"/>
      <c:layout>
        <c:manualLayout>
          <c:xMode val="edge"/>
          <c:yMode val="edge"/>
          <c:x val="0.18427244667488163"/>
          <c:y val="0.88430479995760203"/>
          <c:w val="0.75862288694717539"/>
          <c:h val="8.8254224133378897E-2"/>
        </c:manualLayout>
      </c:layout>
      <c:overlay val="0"/>
      <c:spPr>
        <a:solidFill>
          <a:schemeClr val="bg1">
            <a:lumMod val="95000"/>
          </a:schemeClr>
        </a:solidFill>
        <a:ln w="127000" cap="rnd">
          <a:solidFill>
            <a:schemeClr val="bg1">
              <a:lumMod val="95000"/>
            </a:schemeClr>
          </a:solidFill>
        </a:ln>
      </c:sp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96748614413796"/>
          <c:y val="4.3600958534458487E-2"/>
          <c:w val="0.57640401442181644"/>
          <c:h val="0.91040486351419814"/>
        </c:manualLayout>
      </c:layout>
      <c:barChart>
        <c:barDir val="bar"/>
        <c:grouping val="stacked"/>
        <c:varyColors val="0"/>
        <c:ser>
          <c:idx val="0"/>
          <c:order val="0"/>
          <c:tx>
            <c:strRef>
              <c:f>Sheet1!$B$1881</c:f>
              <c:strCache>
                <c:ptCount val="1"/>
                <c:pt idx="0">
                  <c:v>Yes</c:v>
                </c:pt>
              </c:strCache>
            </c:strRef>
          </c:tx>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6D0F-459C-A40D-62FF2AAD7E41}"/>
              </c:ext>
            </c:extLst>
          </c:dPt>
          <c:dPt>
            <c:idx val="11"/>
            <c:invertIfNegative val="0"/>
            <c:bubble3D val="0"/>
            <c:extLst>
              <c:ext xmlns:c16="http://schemas.microsoft.com/office/drawing/2014/chart" uri="{C3380CC4-5D6E-409C-BE32-E72D297353CC}">
                <c16:uniqueId val="{00000002-6D0F-459C-A40D-62FF2AAD7E41}"/>
              </c:ext>
            </c:extLst>
          </c:dPt>
          <c:dPt>
            <c:idx val="12"/>
            <c:invertIfNegative val="0"/>
            <c:bubble3D val="0"/>
            <c:extLst>
              <c:ext xmlns:c16="http://schemas.microsoft.com/office/drawing/2014/chart" uri="{C3380CC4-5D6E-409C-BE32-E72D297353CC}">
                <c16:uniqueId val="{00000003-6D0F-459C-A40D-62FF2AAD7E41}"/>
              </c:ext>
            </c:extLst>
          </c:dPt>
          <c:dPt>
            <c:idx val="13"/>
            <c:invertIfNegative val="0"/>
            <c:bubble3D val="0"/>
            <c:extLst>
              <c:ext xmlns:c16="http://schemas.microsoft.com/office/drawing/2014/chart" uri="{C3380CC4-5D6E-409C-BE32-E72D297353CC}">
                <c16:uniqueId val="{00000004-6D0F-459C-A40D-62FF2AAD7E41}"/>
              </c:ext>
            </c:extLst>
          </c:dPt>
          <c:dPt>
            <c:idx val="14"/>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6-6D0F-459C-A40D-62FF2AAD7E41}"/>
              </c:ext>
            </c:extLst>
          </c:dPt>
          <c:dLbls>
            <c:dLbl>
              <c:idx val="8"/>
              <c:layout>
                <c:manualLayout>
                  <c:x val="-1.06094453400166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0F-459C-A40D-62FF2AAD7E41}"/>
                </c:ext>
              </c:extLst>
            </c:dLbl>
            <c:dLbl>
              <c:idx val="11"/>
              <c:layout>
                <c:manualLayout>
                  <c:x val="4.0383644623926936E-3"/>
                  <c:y val="-4.2731677771047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0F-459C-A40D-62FF2AAD7E41}"/>
                </c:ext>
              </c:extLst>
            </c:dLbl>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Sheet1!$A$1882:$A$1888</c:f>
              <c:strCache>
                <c:ptCount val="7"/>
                <c:pt idx="0">
                  <c:v>The level of security in the West Bank</c:v>
                </c:pt>
                <c:pt idx="1">
                  <c:v>The general economic situation in the West Bank</c:v>
                </c:pt>
                <c:pt idx="2">
                  <c:v>Ability to move between the governorates of the West Bank</c:v>
                </c:pt>
                <c:pt idx="3">
                  <c:v>The level of safety in your neighbourhood (town, village, etc.)</c:v>
                </c:pt>
                <c:pt idx="4">
                  <c:v>Household income</c:v>
                </c:pt>
                <c:pt idx="5">
                  <c:v>Your sense of security and personal safety</c:v>
                </c:pt>
                <c:pt idx="6">
                  <c:v>Access to goods and services </c:v>
                </c:pt>
              </c:strCache>
            </c:strRef>
          </c:cat>
          <c:val>
            <c:numRef>
              <c:f>Sheet1!$B$1882:$B$1888</c:f>
              <c:numCache>
                <c:formatCode>General</c:formatCode>
                <c:ptCount val="7"/>
                <c:pt idx="0">
                  <c:v>97</c:v>
                </c:pt>
                <c:pt idx="1">
                  <c:v>96</c:v>
                </c:pt>
                <c:pt idx="2">
                  <c:v>96</c:v>
                </c:pt>
                <c:pt idx="3">
                  <c:v>95</c:v>
                </c:pt>
                <c:pt idx="4">
                  <c:v>94</c:v>
                </c:pt>
                <c:pt idx="5">
                  <c:v>93</c:v>
                </c:pt>
                <c:pt idx="6">
                  <c:v>84</c:v>
                </c:pt>
              </c:numCache>
            </c:numRef>
          </c:val>
          <c:extLst>
            <c:ext xmlns:c16="http://schemas.microsoft.com/office/drawing/2014/chart" uri="{C3380CC4-5D6E-409C-BE32-E72D297353CC}">
              <c16:uniqueId val="{00000007-6D0F-459C-A40D-62FF2AAD7E41}"/>
            </c:ext>
          </c:extLst>
        </c:ser>
        <c:dLbls>
          <c:showLegendKey val="0"/>
          <c:showVal val="0"/>
          <c:showCatName val="0"/>
          <c:showSerName val="0"/>
          <c:showPercent val="0"/>
          <c:showBubbleSize val="0"/>
        </c:dLbls>
        <c:gapWidth val="40"/>
        <c:overlap val="100"/>
        <c:axId val="103103872"/>
        <c:axId val="103130240"/>
      </c:barChart>
      <c:catAx>
        <c:axId val="103103872"/>
        <c:scaling>
          <c:orientation val="maxMin"/>
        </c:scaling>
        <c:delete val="0"/>
        <c:axPos val="l"/>
        <c:numFmt formatCode="General" sourceLinked="1"/>
        <c:majorTickMark val="out"/>
        <c:minorTickMark val="none"/>
        <c:tickLblPos val="nextTo"/>
        <c:txPr>
          <a:bodyPr/>
          <a:lstStyle/>
          <a:p>
            <a:pPr>
              <a:defRPr b="1"/>
            </a:pPr>
            <a:endParaRPr lang="en-US"/>
          </a:p>
        </c:txPr>
        <c:crossAx val="103130240"/>
        <c:crosses val="autoZero"/>
        <c:auto val="1"/>
        <c:lblAlgn val="ctr"/>
        <c:lblOffset val="100"/>
        <c:noMultiLvlLbl val="0"/>
      </c:catAx>
      <c:valAx>
        <c:axId val="103130240"/>
        <c:scaling>
          <c:orientation val="minMax"/>
          <c:max val="100"/>
          <c:min val="0"/>
        </c:scaling>
        <c:delete val="0"/>
        <c:axPos val="t"/>
        <c:numFmt formatCode="General" sourceLinked="1"/>
        <c:majorTickMark val="out"/>
        <c:minorTickMark val="none"/>
        <c:tickLblPos val="nextTo"/>
        <c:crossAx val="103103872"/>
        <c:crosses val="autoZero"/>
        <c:crossBetween val="between"/>
        <c:majorUnit val="10"/>
      </c:valAx>
      <c:spPr>
        <a:noFill/>
        <a:ln w="25400">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5161854768154"/>
          <c:y val="4.3600958534458487E-2"/>
          <c:w val="0.77238134295713035"/>
          <c:h val="0.76645725171896861"/>
        </c:manualLayout>
      </c:layout>
      <c:barChart>
        <c:barDir val="col"/>
        <c:grouping val="clustered"/>
        <c:varyColors val="0"/>
        <c:ser>
          <c:idx val="0"/>
          <c:order val="0"/>
          <c:tx>
            <c:strRef>
              <c:f>Sheet1!$B$1897</c:f>
              <c:strCache>
                <c:ptCount val="1"/>
                <c:pt idx="0">
                  <c:v>At least once a day</c:v>
                </c:pt>
              </c:strCache>
            </c:strRef>
          </c:tx>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20C8-4963-BCB3-315160D56645}"/>
              </c:ext>
            </c:extLst>
          </c:dPt>
          <c:dPt>
            <c:idx val="11"/>
            <c:invertIfNegative val="0"/>
            <c:bubble3D val="0"/>
            <c:extLst>
              <c:ext xmlns:c16="http://schemas.microsoft.com/office/drawing/2014/chart" uri="{C3380CC4-5D6E-409C-BE32-E72D297353CC}">
                <c16:uniqueId val="{00000002-20C8-4963-BCB3-315160D56645}"/>
              </c:ext>
            </c:extLst>
          </c:dPt>
          <c:dPt>
            <c:idx val="12"/>
            <c:invertIfNegative val="0"/>
            <c:bubble3D val="0"/>
            <c:extLst>
              <c:ext xmlns:c16="http://schemas.microsoft.com/office/drawing/2014/chart" uri="{C3380CC4-5D6E-409C-BE32-E72D297353CC}">
                <c16:uniqueId val="{00000003-20C8-4963-BCB3-315160D56645}"/>
              </c:ext>
            </c:extLst>
          </c:dPt>
          <c:dPt>
            <c:idx val="13"/>
            <c:invertIfNegative val="0"/>
            <c:bubble3D val="0"/>
            <c:extLst>
              <c:ext xmlns:c16="http://schemas.microsoft.com/office/drawing/2014/chart" uri="{C3380CC4-5D6E-409C-BE32-E72D297353CC}">
                <c16:uniqueId val="{00000004-20C8-4963-BCB3-315160D56645}"/>
              </c:ext>
            </c:extLst>
          </c:dPt>
          <c:dPt>
            <c:idx val="14"/>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6-20C8-4963-BCB3-315160D56645}"/>
              </c:ext>
            </c:extLst>
          </c:dPt>
          <c:dLbls>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Sheet1!$A$1898:$A$1900</c:f>
              <c:strCache>
                <c:ptCount val="3"/>
                <c:pt idx="0">
                  <c:v>Israeli military raids </c:v>
                </c:pt>
                <c:pt idx="1">
                  <c:v>Arrests and interrogation by the Israeli army </c:v>
                </c:pt>
                <c:pt idx="2">
                  <c:v>Settler harassment (of Palestinians) </c:v>
                </c:pt>
              </c:strCache>
            </c:strRef>
          </c:cat>
          <c:val>
            <c:numRef>
              <c:f>Sheet1!$B$1898:$B$1900</c:f>
              <c:numCache>
                <c:formatCode>General</c:formatCode>
                <c:ptCount val="3"/>
                <c:pt idx="0">
                  <c:v>60</c:v>
                </c:pt>
                <c:pt idx="1">
                  <c:v>44</c:v>
                </c:pt>
                <c:pt idx="2">
                  <c:v>22</c:v>
                </c:pt>
              </c:numCache>
            </c:numRef>
          </c:val>
          <c:extLst>
            <c:ext xmlns:c16="http://schemas.microsoft.com/office/drawing/2014/chart" uri="{C3380CC4-5D6E-409C-BE32-E72D297353CC}">
              <c16:uniqueId val="{00000007-20C8-4963-BCB3-315160D56645}"/>
            </c:ext>
          </c:extLst>
        </c:ser>
        <c:dLbls>
          <c:showLegendKey val="0"/>
          <c:showVal val="0"/>
          <c:showCatName val="0"/>
          <c:showSerName val="0"/>
          <c:showPercent val="0"/>
          <c:showBubbleSize val="0"/>
        </c:dLbls>
        <c:gapWidth val="40"/>
        <c:axId val="103103872"/>
        <c:axId val="103130240"/>
      </c:barChart>
      <c:catAx>
        <c:axId val="103103872"/>
        <c:scaling>
          <c:orientation val="minMax"/>
        </c:scaling>
        <c:delete val="0"/>
        <c:axPos val="b"/>
        <c:numFmt formatCode="General" sourceLinked="1"/>
        <c:majorTickMark val="out"/>
        <c:minorTickMark val="none"/>
        <c:tickLblPos val="nextTo"/>
        <c:txPr>
          <a:bodyPr/>
          <a:lstStyle/>
          <a:p>
            <a:pPr>
              <a:defRPr b="1"/>
            </a:pPr>
            <a:endParaRPr lang="en-US"/>
          </a:p>
        </c:txPr>
        <c:crossAx val="103130240"/>
        <c:crosses val="autoZero"/>
        <c:auto val="1"/>
        <c:lblAlgn val="ctr"/>
        <c:lblOffset val="100"/>
        <c:noMultiLvlLbl val="0"/>
      </c:catAx>
      <c:valAx>
        <c:axId val="103130240"/>
        <c:scaling>
          <c:orientation val="minMax"/>
          <c:max val="100"/>
          <c:min val="0"/>
        </c:scaling>
        <c:delete val="0"/>
        <c:axPos val="l"/>
        <c:numFmt formatCode="General" sourceLinked="1"/>
        <c:majorTickMark val="out"/>
        <c:minorTickMark val="none"/>
        <c:tickLblPos val="nextTo"/>
        <c:crossAx val="103103872"/>
        <c:crosses val="autoZero"/>
        <c:crossBetween val="between"/>
        <c:majorUnit val="10"/>
      </c:valAx>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41340912680032"/>
          <c:y val="3.6741216370289667E-2"/>
          <c:w val="0.56500286960022617"/>
          <c:h val="0.93108139901042775"/>
        </c:manualLayout>
      </c:layout>
      <c:pieChart>
        <c:varyColors val="1"/>
        <c:ser>
          <c:idx val="0"/>
          <c:order val="0"/>
          <c:explosion val="3"/>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350A-42CE-BDC9-314B69762678}"/>
              </c:ext>
            </c:extLst>
          </c:dPt>
          <c:dPt>
            <c:idx val="1"/>
            <c:bubble3D val="0"/>
            <c:spPr>
              <a:solidFill>
                <a:srgbClr val="4BACC6">
                  <a:lumMod val="60000"/>
                  <a:lumOff val="40000"/>
                </a:srgbClr>
              </a:solidFill>
            </c:spPr>
            <c:extLst>
              <c:ext xmlns:c16="http://schemas.microsoft.com/office/drawing/2014/chart" uri="{C3380CC4-5D6E-409C-BE32-E72D297353CC}">
                <c16:uniqueId val="{00000003-350A-42CE-BDC9-314B69762678}"/>
              </c:ext>
            </c:extLst>
          </c:dPt>
          <c:dPt>
            <c:idx val="2"/>
            <c:bubble3D val="0"/>
            <c:spPr>
              <a:solidFill>
                <a:srgbClr val="C0504D">
                  <a:lumMod val="60000"/>
                  <a:lumOff val="40000"/>
                </a:srgbClr>
              </a:solidFill>
            </c:spPr>
            <c:extLst>
              <c:ext xmlns:c16="http://schemas.microsoft.com/office/drawing/2014/chart" uri="{C3380CC4-5D6E-409C-BE32-E72D297353CC}">
                <c16:uniqueId val="{00000005-350A-42CE-BDC9-314B69762678}"/>
              </c:ext>
            </c:extLst>
          </c:dPt>
          <c:dPt>
            <c:idx val="3"/>
            <c:bubble3D val="0"/>
            <c:spPr>
              <a:solidFill>
                <a:srgbClr val="C0504D">
                  <a:lumMod val="75000"/>
                </a:srgbClr>
              </a:solidFill>
            </c:spPr>
            <c:extLst>
              <c:ext xmlns:c16="http://schemas.microsoft.com/office/drawing/2014/chart" uri="{C3380CC4-5D6E-409C-BE32-E72D297353CC}">
                <c16:uniqueId val="{00000007-350A-42CE-BDC9-314B69762678}"/>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350A-42CE-BDC9-314B69762678}"/>
              </c:ext>
            </c:extLst>
          </c:dPt>
          <c:dLbls>
            <c:dLbl>
              <c:idx val="0"/>
              <c:layout>
                <c:manualLayout>
                  <c:x val="-0.18646369203849519"/>
                  <c:y val="0.1350251531058617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50A-42CE-BDC9-314B69762678}"/>
                </c:ext>
              </c:extLst>
            </c:dLbl>
            <c:dLbl>
              <c:idx val="1"/>
              <c:layout>
                <c:manualLayout>
                  <c:x val="-0.10559601924759406"/>
                  <c:y val="-3.6515748031496062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50A-42CE-BDC9-314B69762678}"/>
                </c:ext>
              </c:extLst>
            </c:dLbl>
            <c:dLbl>
              <c:idx val="2"/>
              <c:layout>
                <c:manualLayout>
                  <c:x val="-8.1019247594050752E-3"/>
                  <c:y val="5.7290026246719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50A-42CE-BDC9-314B69762678}"/>
                </c:ext>
              </c:extLst>
            </c:dLbl>
            <c:dLbl>
              <c:idx val="3"/>
              <c:layout>
                <c:manualLayout>
                  <c:x val="-2.1844269466316717E-2"/>
                  <c:y val="2.163531641878098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50A-42CE-BDC9-314B69762678}"/>
                </c:ext>
              </c:extLst>
            </c:dLbl>
            <c:dLbl>
              <c:idx val="4"/>
              <c:layout>
                <c:manualLayout>
                  <c:x val="-3.3859798775153105E-2"/>
                  <c:y val="-7.339384660250801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50A-42CE-BDC9-314B69762678}"/>
                </c:ext>
              </c:extLst>
            </c:dLbl>
            <c:spPr>
              <a:noFill/>
              <a:ln>
                <a:noFill/>
              </a:ln>
              <a:effectLst/>
            </c:spPr>
            <c:txPr>
              <a:bodyPr/>
              <a:lstStyle/>
              <a:p>
                <a:pPr>
                  <a:defRPr sz="1000" b="1">
                    <a:solidFill>
                      <a:sysClr val="windowText" lastClr="000000"/>
                    </a:solidFill>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Sheet1!$B$4:$F$4</c:f>
              <c:strCache>
                <c:ptCount val="5"/>
                <c:pt idx="0">
                  <c:v>Daily</c:v>
                </c:pt>
                <c:pt idx="1">
                  <c:v>Several times per week</c:v>
                </c:pt>
                <c:pt idx="2">
                  <c:v>At least once per week</c:v>
                </c:pt>
                <c:pt idx="3">
                  <c:v>Rarely</c:v>
                </c:pt>
                <c:pt idx="4">
                  <c:v>I do not follow the news</c:v>
                </c:pt>
              </c:strCache>
            </c:strRef>
          </c:cat>
          <c:val>
            <c:numRef>
              <c:f>Sheet1!$B$21:$F$21</c:f>
              <c:numCache>
                <c:formatCode>0</c:formatCode>
                <c:ptCount val="5"/>
                <c:pt idx="0">
                  <c:v>59.0625</c:v>
                </c:pt>
                <c:pt idx="1">
                  <c:v>19.6875</c:v>
                </c:pt>
                <c:pt idx="2">
                  <c:v>7.875</c:v>
                </c:pt>
                <c:pt idx="3">
                  <c:v>6</c:v>
                </c:pt>
                <c:pt idx="4">
                  <c:v>7.375</c:v>
                </c:pt>
              </c:numCache>
            </c:numRef>
          </c:val>
          <c:extLst>
            <c:ext xmlns:c16="http://schemas.microsoft.com/office/drawing/2014/chart" uri="{C3380CC4-5D6E-409C-BE32-E72D297353CC}">
              <c16:uniqueId val="{0000000A-350A-42CE-BDC9-314B69762678}"/>
            </c:ext>
          </c:extLst>
        </c:ser>
        <c:dLbls>
          <c:showLegendKey val="0"/>
          <c:showVal val="0"/>
          <c:showCatName val="0"/>
          <c:showSerName val="0"/>
          <c:showPercent val="0"/>
          <c:showBubbleSize val="0"/>
          <c:showLeaderLines val="1"/>
        </c:dLbls>
        <c:firstSliceAng val="32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3600958534458487E-2"/>
          <c:w val="0.94708109811291408"/>
          <c:h val="0.80588161967880667"/>
        </c:manualLayout>
      </c:layout>
      <c:barChart>
        <c:barDir val="col"/>
        <c:grouping val="clustered"/>
        <c:varyColors val="0"/>
        <c:ser>
          <c:idx val="0"/>
          <c:order val="0"/>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21B6-49FE-9BE2-975A7397831B}"/>
              </c:ext>
            </c:extLst>
          </c:dPt>
          <c:dPt>
            <c:idx val="11"/>
            <c:invertIfNegative val="0"/>
            <c:bubble3D val="0"/>
            <c:extLst>
              <c:ext xmlns:c16="http://schemas.microsoft.com/office/drawing/2014/chart" uri="{C3380CC4-5D6E-409C-BE32-E72D297353CC}">
                <c16:uniqueId val="{00000002-21B6-49FE-9BE2-975A7397831B}"/>
              </c:ext>
            </c:extLst>
          </c:dPt>
          <c:dPt>
            <c:idx val="12"/>
            <c:invertIfNegative val="0"/>
            <c:bubble3D val="0"/>
            <c:extLst>
              <c:ext xmlns:c16="http://schemas.microsoft.com/office/drawing/2014/chart" uri="{C3380CC4-5D6E-409C-BE32-E72D297353CC}">
                <c16:uniqueId val="{00000003-21B6-49FE-9BE2-975A7397831B}"/>
              </c:ext>
            </c:extLst>
          </c:dPt>
          <c:dPt>
            <c:idx val="13"/>
            <c:invertIfNegative val="0"/>
            <c:bubble3D val="0"/>
            <c:extLst>
              <c:ext xmlns:c16="http://schemas.microsoft.com/office/drawing/2014/chart" uri="{C3380CC4-5D6E-409C-BE32-E72D297353CC}">
                <c16:uniqueId val="{00000004-21B6-49FE-9BE2-975A7397831B}"/>
              </c:ext>
            </c:extLst>
          </c:dPt>
          <c:dPt>
            <c:idx val="14"/>
            <c:invertIfNegative val="0"/>
            <c:bubble3D val="0"/>
            <c:spPr>
              <a:solidFill>
                <a:srgbClr val="4BACC6">
                  <a:lumMod val="75000"/>
                </a:srgbClr>
              </a:solidFill>
              <a:ln>
                <a:solidFill>
                  <a:sysClr val="windowText" lastClr="000000">
                    <a:lumMod val="95000"/>
                    <a:lumOff val="5000"/>
                  </a:sysClr>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6-21B6-49FE-9BE2-975A7397831B}"/>
              </c:ext>
            </c:extLst>
          </c:dPt>
          <c:dLbls>
            <c:dLbl>
              <c:idx val="2"/>
              <c:spPr>
                <a:noFill/>
                <a:ln>
                  <a:noFill/>
                </a:ln>
                <a:effectLst/>
              </c:spPr>
              <c:txPr>
                <a:bodyPr/>
                <a:lstStyle/>
                <a:p>
                  <a:pPr>
                    <a:defRPr b="1">
                      <a:solidFill>
                        <a:sysClr val="windowText" lastClr="000000"/>
                      </a:solidFill>
                      <a:effectLst>
                        <a:outerShdw blurRad="50800" dist="38100" dir="5400000" algn="t" rotWithShape="0">
                          <a:prstClr val="black">
                            <a:alpha val="40000"/>
                          </a:prstClr>
                        </a:outerShdw>
                      </a:effectLst>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21B6-49FE-9BE2-975A7397831B}"/>
                </c:ext>
              </c:extLst>
            </c:dLbl>
            <c:dLbl>
              <c:idx val="3"/>
              <c:spPr>
                <a:noFill/>
                <a:ln>
                  <a:noFill/>
                </a:ln>
                <a:effectLst/>
              </c:spPr>
              <c:txPr>
                <a:bodyPr/>
                <a:lstStyle/>
                <a:p>
                  <a:pPr>
                    <a:defRPr b="1">
                      <a:solidFill>
                        <a:sysClr val="windowText" lastClr="000000"/>
                      </a:solidFill>
                      <a:effectLst>
                        <a:outerShdw blurRad="50800" dist="38100" dir="5400000" algn="t" rotWithShape="0">
                          <a:prstClr val="black">
                            <a:alpha val="40000"/>
                          </a:prstClr>
                        </a:outerShdw>
                      </a:effectLst>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21B6-49FE-9BE2-975A7397831B}"/>
                </c:ext>
              </c:extLst>
            </c:dLbl>
            <c:dLbl>
              <c:idx val="4"/>
              <c:spPr>
                <a:noFill/>
                <a:ln>
                  <a:noFill/>
                </a:ln>
                <a:effectLst/>
              </c:spPr>
              <c:txPr>
                <a:bodyPr/>
                <a:lstStyle/>
                <a:p>
                  <a:pPr>
                    <a:defRPr b="1">
                      <a:solidFill>
                        <a:sysClr val="windowText" lastClr="000000"/>
                      </a:solidFill>
                      <a:effectLst>
                        <a:outerShdw blurRad="50800" dist="38100" dir="5400000" algn="t" rotWithShape="0">
                          <a:prstClr val="black">
                            <a:alpha val="40000"/>
                          </a:prstClr>
                        </a:outerShdw>
                      </a:effectLst>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21B6-49FE-9BE2-975A7397831B}"/>
                </c:ext>
              </c:extLst>
            </c:dLbl>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Sheet1!$B$1677:$F$1677</c:f>
              <c:strCache>
                <c:ptCount val="5"/>
                <c:pt idx="0">
                  <c:v>A legitimate resistance operation</c:v>
                </c:pt>
                <c:pt idx="1">
                  <c:v>A legitimate resistance operation that made mistakes</c:v>
                </c:pt>
                <c:pt idx="2">
                  <c:v>A legitimate resistance operation that involved unacceptable/condemable acts</c:v>
                </c:pt>
                <c:pt idx="3">
                  <c:v>An illegitimate operation</c:v>
                </c:pt>
                <c:pt idx="4">
                  <c:v>Don't know / Declined to answer</c:v>
                </c:pt>
              </c:strCache>
            </c:strRef>
          </c:cat>
          <c:val>
            <c:numRef>
              <c:f>Sheet1!$B$1694:$F$1694</c:f>
              <c:numCache>
                <c:formatCode>0</c:formatCode>
                <c:ptCount val="5"/>
                <c:pt idx="0">
                  <c:v>67.0625</c:v>
                </c:pt>
                <c:pt idx="1">
                  <c:v>19</c:v>
                </c:pt>
                <c:pt idx="2">
                  <c:v>2.1875</c:v>
                </c:pt>
                <c:pt idx="3">
                  <c:v>4.875</c:v>
                </c:pt>
                <c:pt idx="4">
                  <c:v>7</c:v>
                </c:pt>
              </c:numCache>
            </c:numRef>
          </c:val>
          <c:extLst>
            <c:ext xmlns:c16="http://schemas.microsoft.com/office/drawing/2014/chart" uri="{C3380CC4-5D6E-409C-BE32-E72D297353CC}">
              <c16:uniqueId val="{0000000A-21B6-49FE-9BE2-975A7397831B}"/>
            </c:ext>
          </c:extLst>
        </c:ser>
        <c:dLbls>
          <c:showLegendKey val="0"/>
          <c:showVal val="0"/>
          <c:showCatName val="0"/>
          <c:showSerName val="0"/>
          <c:showPercent val="0"/>
          <c:showBubbleSize val="0"/>
        </c:dLbls>
        <c:gapWidth val="40"/>
        <c:axId val="103103872"/>
        <c:axId val="103130240"/>
      </c:barChart>
      <c:catAx>
        <c:axId val="103103872"/>
        <c:scaling>
          <c:orientation val="minMax"/>
        </c:scaling>
        <c:delete val="0"/>
        <c:axPos val="b"/>
        <c:numFmt formatCode="General" sourceLinked="1"/>
        <c:majorTickMark val="out"/>
        <c:minorTickMark val="none"/>
        <c:tickLblPos val="nextTo"/>
        <c:txPr>
          <a:bodyPr/>
          <a:lstStyle/>
          <a:p>
            <a:pPr>
              <a:defRPr sz="800" b="1"/>
            </a:pPr>
            <a:endParaRPr lang="en-US"/>
          </a:p>
        </c:txPr>
        <c:crossAx val="103130240"/>
        <c:crosses val="autoZero"/>
        <c:auto val="1"/>
        <c:lblAlgn val="ctr"/>
        <c:lblOffset val="100"/>
        <c:noMultiLvlLbl val="0"/>
      </c:catAx>
      <c:valAx>
        <c:axId val="103130240"/>
        <c:scaling>
          <c:orientation val="minMax"/>
          <c:max val="100"/>
          <c:min val="0"/>
        </c:scaling>
        <c:delete val="0"/>
        <c:axPos val="l"/>
        <c:numFmt formatCode="0" sourceLinked="1"/>
        <c:majorTickMark val="out"/>
        <c:minorTickMark val="none"/>
        <c:tickLblPos val="nextTo"/>
        <c:crossAx val="103103872"/>
        <c:crosses val="autoZero"/>
        <c:crossBetween val="between"/>
        <c:majorUnit val="10"/>
      </c:valAx>
      <c:spPr>
        <a:noFill/>
        <a:ln w="2540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247922134733156"/>
          <c:y val="4.137102653834937E-2"/>
          <c:w val="0.56500286960022617"/>
          <c:h val="0.93108139901042775"/>
        </c:manualLayout>
      </c:layout>
      <c:pieChart>
        <c:varyColors val="1"/>
        <c:ser>
          <c:idx val="0"/>
          <c:order val="0"/>
          <c:explosion val="7"/>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40CB-4602-8909-410C7C47731B}"/>
              </c:ext>
            </c:extLst>
          </c:dPt>
          <c:dPt>
            <c:idx val="1"/>
            <c:bubble3D val="0"/>
            <c:spPr>
              <a:solidFill>
                <a:srgbClr val="4BACC6">
                  <a:lumMod val="60000"/>
                  <a:lumOff val="40000"/>
                </a:srgbClr>
              </a:solidFill>
            </c:spPr>
            <c:extLst>
              <c:ext xmlns:c16="http://schemas.microsoft.com/office/drawing/2014/chart" uri="{C3380CC4-5D6E-409C-BE32-E72D297353CC}">
                <c16:uniqueId val="{00000003-40CB-4602-8909-410C7C47731B}"/>
              </c:ext>
            </c:extLst>
          </c:dPt>
          <c:dPt>
            <c:idx val="2"/>
            <c:bubble3D val="0"/>
            <c:spPr>
              <a:solidFill>
                <a:srgbClr val="C0504D">
                  <a:lumMod val="60000"/>
                  <a:lumOff val="40000"/>
                </a:srgbClr>
              </a:solidFill>
            </c:spPr>
            <c:extLst>
              <c:ext xmlns:c16="http://schemas.microsoft.com/office/drawing/2014/chart" uri="{C3380CC4-5D6E-409C-BE32-E72D297353CC}">
                <c16:uniqueId val="{00000005-40CB-4602-8909-410C7C47731B}"/>
              </c:ext>
            </c:extLst>
          </c:dPt>
          <c:dPt>
            <c:idx val="3"/>
            <c:bubble3D val="0"/>
            <c:spPr>
              <a:solidFill>
                <a:srgbClr val="C0504D">
                  <a:lumMod val="75000"/>
                </a:srgbClr>
              </a:solidFill>
            </c:spPr>
            <c:extLst>
              <c:ext xmlns:c16="http://schemas.microsoft.com/office/drawing/2014/chart" uri="{C3380CC4-5D6E-409C-BE32-E72D297353CC}">
                <c16:uniqueId val="{00000007-40CB-4602-8909-410C7C47731B}"/>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40CB-4602-8909-410C7C47731B}"/>
              </c:ext>
            </c:extLst>
          </c:dPt>
          <c:dLbls>
            <c:dLbl>
              <c:idx val="0"/>
              <c:layout>
                <c:manualLayout>
                  <c:x val="-0.12221916010498687"/>
                  <c:y val="3.4690142898804316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0CB-4602-8909-410C7C47731B}"/>
                </c:ext>
              </c:extLst>
            </c:dLbl>
            <c:dLbl>
              <c:idx val="1"/>
              <c:layout>
                <c:manualLayout>
                  <c:x val="-4.2455818022747158E-2"/>
                  <c:y val="3.338546223388742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0CB-4602-8909-410C7C47731B}"/>
                </c:ext>
              </c:extLst>
            </c:dLbl>
            <c:dLbl>
              <c:idx val="2"/>
              <c:layout>
                <c:manualLayout>
                  <c:x val="-7.7546369203849538E-2"/>
                  <c:y val="0.1255963837853601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0CB-4602-8909-410C7C47731B}"/>
                </c:ext>
              </c:extLst>
            </c:dLbl>
            <c:dLbl>
              <c:idx val="3"/>
              <c:layout>
                <c:manualLayout>
                  <c:x val="-7.148884514435698E-2"/>
                  <c:y val="-2.00313502478856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0CB-4602-8909-410C7C47731B}"/>
                </c:ext>
              </c:extLst>
            </c:dLbl>
            <c:dLbl>
              <c:idx val="4"/>
              <c:layout>
                <c:manualLayout>
                  <c:x val="-2.2748687664042047E-2"/>
                  <c:y val="-2.689012831729367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0CB-4602-8909-410C7C47731B}"/>
                </c:ext>
              </c:extLst>
            </c:dLbl>
            <c:spPr>
              <a:noFill/>
              <a:ln>
                <a:noFill/>
              </a:ln>
              <a:effectLst/>
            </c:spPr>
            <c:txPr>
              <a:bodyPr/>
              <a:lstStyle/>
              <a:p>
                <a:pPr>
                  <a:defRPr sz="1000" b="1"/>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Sheet1!$B$1738:$F$1738</c:f>
              <c:strCache>
                <c:ptCount val="5"/>
                <c:pt idx="0">
                  <c:v>I stand with the people of Gaza and Hamas</c:v>
                </c:pt>
                <c:pt idx="1">
                  <c:v>I stand with the people of Gaza and oppose Hamas</c:v>
                </c:pt>
                <c:pt idx="2">
                  <c:v>I do not stand with the Palestinians</c:v>
                </c:pt>
                <c:pt idx="3">
                  <c:v>I do not agree with any statement</c:v>
                </c:pt>
                <c:pt idx="4">
                  <c:v>Don't know / Declined to answer</c:v>
                </c:pt>
              </c:strCache>
            </c:strRef>
          </c:cat>
          <c:val>
            <c:numRef>
              <c:f>Sheet1!$B$1755:$F$1755</c:f>
              <c:numCache>
                <c:formatCode>0</c:formatCode>
                <c:ptCount val="5"/>
                <c:pt idx="0">
                  <c:v>68.625</c:v>
                </c:pt>
                <c:pt idx="1">
                  <c:v>22.6875</c:v>
                </c:pt>
                <c:pt idx="2">
                  <c:v>1.0666666666666667</c:v>
                </c:pt>
                <c:pt idx="3">
                  <c:v>3.375</c:v>
                </c:pt>
                <c:pt idx="4">
                  <c:v>5</c:v>
                </c:pt>
              </c:numCache>
            </c:numRef>
          </c:val>
          <c:extLst>
            <c:ext xmlns:c16="http://schemas.microsoft.com/office/drawing/2014/chart" uri="{C3380CC4-5D6E-409C-BE32-E72D297353CC}">
              <c16:uniqueId val="{0000000A-40CB-4602-8909-410C7C47731B}"/>
            </c:ext>
          </c:extLst>
        </c:ser>
        <c:dLbls>
          <c:showLegendKey val="0"/>
          <c:showVal val="0"/>
          <c:showCatName val="0"/>
          <c:showSerName val="0"/>
          <c:showPercent val="0"/>
          <c:showBubbleSize val="0"/>
          <c:showLeaderLines val="1"/>
        </c:dLbls>
        <c:firstSliceAng val="32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247922134733157"/>
          <c:y val="3.2111767279090112E-2"/>
          <c:w val="0.56500286960022617"/>
          <c:h val="0.93108139901042775"/>
        </c:manualLayout>
      </c:layout>
      <c:pieChart>
        <c:varyColors val="1"/>
        <c:ser>
          <c:idx val="0"/>
          <c:order val="0"/>
          <c:explosion val="3"/>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2E24-4B0A-9398-3C294FBC65EB}"/>
              </c:ext>
            </c:extLst>
          </c:dPt>
          <c:dPt>
            <c:idx val="1"/>
            <c:bubble3D val="0"/>
            <c:spPr>
              <a:solidFill>
                <a:srgbClr val="4BACC6">
                  <a:lumMod val="60000"/>
                  <a:lumOff val="40000"/>
                </a:srgbClr>
              </a:solidFill>
            </c:spPr>
            <c:extLst>
              <c:ext xmlns:c16="http://schemas.microsoft.com/office/drawing/2014/chart" uri="{C3380CC4-5D6E-409C-BE32-E72D297353CC}">
                <c16:uniqueId val="{00000003-2E24-4B0A-9398-3C294FBC65EB}"/>
              </c:ext>
            </c:extLst>
          </c:dPt>
          <c:dPt>
            <c:idx val="2"/>
            <c:bubble3D val="0"/>
            <c:spPr>
              <a:solidFill>
                <a:srgbClr val="C0504D">
                  <a:lumMod val="60000"/>
                  <a:lumOff val="40000"/>
                </a:srgbClr>
              </a:solidFill>
            </c:spPr>
            <c:extLst>
              <c:ext xmlns:c16="http://schemas.microsoft.com/office/drawing/2014/chart" uri="{C3380CC4-5D6E-409C-BE32-E72D297353CC}">
                <c16:uniqueId val="{00000005-2E24-4B0A-9398-3C294FBC65EB}"/>
              </c:ext>
            </c:extLst>
          </c:dPt>
          <c:dPt>
            <c:idx val="3"/>
            <c:bubble3D val="0"/>
            <c:spPr>
              <a:solidFill>
                <a:srgbClr val="C0504D">
                  <a:lumMod val="75000"/>
                </a:srgbClr>
              </a:solidFill>
            </c:spPr>
            <c:extLst>
              <c:ext xmlns:c16="http://schemas.microsoft.com/office/drawing/2014/chart" uri="{C3380CC4-5D6E-409C-BE32-E72D297353CC}">
                <c16:uniqueId val="{00000007-2E24-4B0A-9398-3C294FBC65EB}"/>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2E24-4B0A-9398-3C294FBC65EB}"/>
              </c:ext>
            </c:extLst>
          </c:dPt>
          <c:dLbls>
            <c:dLbl>
              <c:idx val="0"/>
              <c:layout>
                <c:manualLayout>
                  <c:x val="-0.19526881014873151"/>
                  <c:y val="4.3949402158063575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E24-4B0A-9398-3C294FBC65EB}"/>
                </c:ext>
              </c:extLst>
            </c:dLbl>
            <c:dLbl>
              <c:idx val="1"/>
              <c:layout>
                <c:manualLayout>
                  <c:x val="-8.3737970253718284E-3"/>
                  <c:y val="1.486694371536882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E24-4B0A-9398-3C294FBC65EB}"/>
                </c:ext>
              </c:extLst>
            </c:dLbl>
            <c:dLbl>
              <c:idx val="2"/>
              <c:layout>
                <c:manualLayout>
                  <c:x val="-1.3657480314960642E-2"/>
                  <c:y val="6.078156897054526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E24-4B0A-9398-3C294FBC65EB}"/>
                </c:ext>
              </c:extLst>
            </c:dLbl>
            <c:dLbl>
              <c:idx val="3"/>
              <c:layout>
                <c:manualLayout>
                  <c:x val="-2.1924978127734033E-2"/>
                  <c:y val="3.1167979002624671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E24-4B0A-9398-3C294FBC65EB}"/>
                </c:ext>
              </c:extLst>
            </c:dLbl>
            <c:dLbl>
              <c:idx val="4"/>
              <c:layout>
                <c:manualLayout>
                  <c:x val="-3.1082020997375354E-2"/>
                  <c:y val="1.129520268299795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E24-4B0A-9398-3C294FBC65EB}"/>
                </c:ext>
              </c:extLst>
            </c:dLbl>
            <c:spPr>
              <a:noFill/>
              <a:ln>
                <a:noFill/>
              </a:ln>
              <a:effectLst/>
            </c:spPr>
            <c:txPr>
              <a:bodyPr/>
              <a:lstStyle/>
              <a:p>
                <a:pPr>
                  <a:defRPr sz="1000" b="1"/>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Sheet1!$B$1781:$F$1781</c:f>
              <c:strCache>
                <c:ptCount val="5"/>
                <c:pt idx="0">
                  <c:v>Hamas is entirely different from ISIS</c:v>
                </c:pt>
                <c:pt idx="1">
                  <c:v>Hamas  greatly differs from ISIS</c:v>
                </c:pt>
                <c:pt idx="2">
                  <c:v>Hamas partially differs from ISIS</c:v>
                </c:pt>
                <c:pt idx="3">
                  <c:v>Hamas is no different to ISIS</c:v>
                </c:pt>
                <c:pt idx="4">
                  <c:v>Don't know / Declined to answer </c:v>
                </c:pt>
              </c:strCache>
            </c:strRef>
          </c:cat>
          <c:val>
            <c:numRef>
              <c:f>Sheet1!$B$1798:$F$1798</c:f>
              <c:numCache>
                <c:formatCode>0</c:formatCode>
                <c:ptCount val="5"/>
                <c:pt idx="0">
                  <c:v>66.8125</c:v>
                </c:pt>
                <c:pt idx="1">
                  <c:v>14.75</c:v>
                </c:pt>
                <c:pt idx="2">
                  <c:v>5.3125</c:v>
                </c:pt>
                <c:pt idx="3">
                  <c:v>3.4375</c:v>
                </c:pt>
                <c:pt idx="4">
                  <c:v>9.6875</c:v>
                </c:pt>
              </c:numCache>
            </c:numRef>
          </c:val>
          <c:extLst>
            <c:ext xmlns:c16="http://schemas.microsoft.com/office/drawing/2014/chart" uri="{C3380CC4-5D6E-409C-BE32-E72D297353CC}">
              <c16:uniqueId val="{0000000A-2E24-4B0A-9398-3C294FBC65EB}"/>
            </c:ext>
          </c:extLst>
        </c:ser>
        <c:dLbls>
          <c:showLegendKey val="0"/>
          <c:showVal val="0"/>
          <c:showCatName val="0"/>
          <c:showSerName val="0"/>
          <c:showPercent val="0"/>
          <c:showBubbleSize val="0"/>
          <c:showLeaderLines val="1"/>
        </c:dLbls>
        <c:firstSliceAng val="33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5161854768154"/>
          <c:y val="4.3600958534458487E-2"/>
          <c:w val="0.77238134295713035"/>
          <c:h val="0.76645725171896861"/>
        </c:manualLayout>
      </c:layout>
      <c:barChart>
        <c:barDir val="bar"/>
        <c:grouping val="stacked"/>
        <c:varyColors val="0"/>
        <c:ser>
          <c:idx val="0"/>
          <c:order val="0"/>
          <c:tx>
            <c:strRef>
              <c:f>Sheet1!$B$644</c:f>
              <c:strCache>
                <c:ptCount val="1"/>
                <c:pt idx="0">
                  <c:v>Very good</c:v>
                </c:pt>
              </c:strCache>
            </c:strRef>
          </c:tx>
          <c:spPr>
            <a:solidFill>
              <a:srgbClr val="4BACC6">
                <a:lumMod val="75000"/>
              </a:srgbClr>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4BACC6">
                  <a:lumMod val="75000"/>
                </a:srgb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1-9DF2-4056-88F8-945EE320327F}"/>
              </c:ext>
            </c:extLst>
          </c:dPt>
          <c:dPt>
            <c:idx val="11"/>
            <c:invertIfNegative val="0"/>
            <c:bubble3D val="0"/>
            <c:extLst>
              <c:ext xmlns:c16="http://schemas.microsoft.com/office/drawing/2014/chart" uri="{C3380CC4-5D6E-409C-BE32-E72D297353CC}">
                <c16:uniqueId val="{00000002-9DF2-4056-88F8-945EE320327F}"/>
              </c:ext>
            </c:extLst>
          </c:dPt>
          <c:dPt>
            <c:idx val="12"/>
            <c:invertIfNegative val="0"/>
            <c:bubble3D val="0"/>
            <c:extLst>
              <c:ext xmlns:c16="http://schemas.microsoft.com/office/drawing/2014/chart" uri="{C3380CC4-5D6E-409C-BE32-E72D297353CC}">
                <c16:uniqueId val="{00000003-9DF2-4056-88F8-945EE320327F}"/>
              </c:ext>
            </c:extLst>
          </c:dPt>
          <c:dPt>
            <c:idx val="13"/>
            <c:invertIfNegative val="0"/>
            <c:bubble3D val="0"/>
            <c:extLst>
              <c:ext xmlns:c16="http://schemas.microsoft.com/office/drawing/2014/chart" uri="{C3380CC4-5D6E-409C-BE32-E72D297353CC}">
                <c16:uniqueId val="{00000004-9DF2-4056-88F8-945EE320327F}"/>
              </c:ext>
            </c:extLst>
          </c:dPt>
          <c:dPt>
            <c:idx val="14"/>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6-9DF2-4056-88F8-945EE320327F}"/>
              </c:ext>
            </c:extLst>
          </c:dPt>
          <c:dPt>
            <c:idx val="15"/>
            <c:invertIfNegative val="0"/>
            <c:bubble3D val="0"/>
            <c:spPr>
              <a:solidFill>
                <a:srgbClr val="4BACC6">
                  <a:lumMod val="75000"/>
                </a:srgb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8-9DF2-4056-88F8-945EE320327F}"/>
              </c:ext>
            </c:extLst>
          </c:dPt>
          <c:dLbls>
            <c:dLbl>
              <c:idx val="8"/>
              <c:layout>
                <c:manualLayout>
                  <c:x val="-1.06094453400166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F2-4056-88F8-945EE320327F}"/>
                </c:ext>
              </c:extLst>
            </c:dLbl>
            <c:dLbl>
              <c:idx val="11"/>
              <c:layout>
                <c:manualLayout>
                  <c:x val="4.0383644623926936E-3"/>
                  <c:y val="-4.2731677771047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F2-4056-88F8-945EE320327F}"/>
                </c:ext>
              </c:extLst>
            </c:dLbl>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Sheet1!$A$645:$A$652</c:f>
              <c:strCache>
                <c:ptCount val="8"/>
                <c:pt idx="0">
                  <c:v>United States</c:v>
                </c:pt>
                <c:pt idx="1">
                  <c:v>United Kingdom</c:v>
                </c:pt>
                <c:pt idx="2">
                  <c:v>France</c:v>
                </c:pt>
                <c:pt idx="3">
                  <c:v>Germany</c:v>
                </c:pt>
                <c:pt idx="4">
                  <c:v>Russia</c:v>
                </c:pt>
                <c:pt idx="5">
                  <c:v>China</c:v>
                </c:pt>
                <c:pt idx="6">
                  <c:v>Iran</c:v>
                </c:pt>
                <c:pt idx="7">
                  <c:v>Turkey</c:v>
                </c:pt>
              </c:strCache>
            </c:strRef>
          </c:cat>
          <c:val>
            <c:numRef>
              <c:f>Sheet1!$B$645:$B$652</c:f>
              <c:numCache>
                <c:formatCode>0</c:formatCode>
                <c:ptCount val="8"/>
                <c:pt idx="0">
                  <c:v>1</c:v>
                </c:pt>
                <c:pt idx="1">
                  <c:v>2</c:v>
                </c:pt>
                <c:pt idx="2">
                  <c:v>3</c:v>
                </c:pt>
                <c:pt idx="3" formatCode="General">
                  <c:v>3</c:v>
                </c:pt>
                <c:pt idx="4">
                  <c:v>9</c:v>
                </c:pt>
                <c:pt idx="5" formatCode="General">
                  <c:v>8</c:v>
                </c:pt>
                <c:pt idx="6">
                  <c:v>19</c:v>
                </c:pt>
                <c:pt idx="7">
                  <c:v>13</c:v>
                </c:pt>
              </c:numCache>
            </c:numRef>
          </c:val>
          <c:extLst>
            <c:ext xmlns:c16="http://schemas.microsoft.com/office/drawing/2014/chart" uri="{C3380CC4-5D6E-409C-BE32-E72D297353CC}">
              <c16:uniqueId val="{00000009-9DF2-4056-88F8-945EE320327F}"/>
            </c:ext>
          </c:extLst>
        </c:ser>
        <c:ser>
          <c:idx val="1"/>
          <c:order val="1"/>
          <c:tx>
            <c:strRef>
              <c:f>Sheet1!$C$644</c:f>
              <c:strCache>
                <c:ptCount val="1"/>
                <c:pt idx="0">
                  <c:v>Good</c:v>
                </c:pt>
              </c:strCache>
            </c:strRef>
          </c:tx>
          <c:spPr>
            <a:solidFill>
              <a:schemeClr val="accent5">
                <a:lumMod val="40000"/>
                <a:lumOff val="60000"/>
              </a:schemeClr>
            </a:solidFill>
            <a:ln>
              <a:noFill/>
            </a:ln>
            <a:effectLst>
              <a:outerShdw blurRad="50800" dist="12700" dir="5400000" algn="t" rotWithShape="0">
                <a:prstClr val="black">
                  <a:alpha val="30000"/>
                </a:prstClr>
              </a:outerShdw>
            </a:effectLst>
          </c:spPr>
          <c:invertIfNegative val="0"/>
          <c:dPt>
            <c:idx val="8"/>
            <c:invertIfNegative val="0"/>
            <c:bubble3D val="0"/>
            <c:spPr>
              <a:solidFill>
                <a:schemeClr val="accent5">
                  <a:lumMod val="40000"/>
                  <a:lumOff val="60000"/>
                </a:scheme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0B-9DF2-4056-88F8-945EE320327F}"/>
              </c:ext>
            </c:extLst>
          </c:dPt>
          <c:dPt>
            <c:idx val="11"/>
            <c:invertIfNegative val="0"/>
            <c:bubble3D val="0"/>
            <c:extLst>
              <c:ext xmlns:c16="http://schemas.microsoft.com/office/drawing/2014/chart" uri="{C3380CC4-5D6E-409C-BE32-E72D297353CC}">
                <c16:uniqueId val="{0000000C-9DF2-4056-88F8-945EE320327F}"/>
              </c:ext>
            </c:extLst>
          </c:dPt>
          <c:dPt>
            <c:idx val="12"/>
            <c:invertIfNegative val="0"/>
            <c:bubble3D val="0"/>
            <c:extLst>
              <c:ext xmlns:c16="http://schemas.microsoft.com/office/drawing/2014/chart" uri="{C3380CC4-5D6E-409C-BE32-E72D297353CC}">
                <c16:uniqueId val="{0000000D-9DF2-4056-88F8-945EE320327F}"/>
              </c:ext>
            </c:extLst>
          </c:dPt>
          <c:dPt>
            <c:idx val="13"/>
            <c:invertIfNegative val="0"/>
            <c:bubble3D val="0"/>
            <c:extLst>
              <c:ext xmlns:c16="http://schemas.microsoft.com/office/drawing/2014/chart" uri="{C3380CC4-5D6E-409C-BE32-E72D297353CC}">
                <c16:uniqueId val="{0000000E-9DF2-4056-88F8-945EE320327F}"/>
              </c:ext>
            </c:extLst>
          </c:dPt>
          <c:dPt>
            <c:idx val="14"/>
            <c:invertIfNegative val="0"/>
            <c:bubble3D val="0"/>
            <c:spPr>
              <a:solidFill>
                <a:schemeClr val="accent5">
                  <a:lumMod val="40000"/>
                  <a:lumOff val="60000"/>
                </a:scheme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0-9DF2-4056-88F8-945EE320327F}"/>
              </c:ext>
            </c:extLst>
          </c:dPt>
          <c:dPt>
            <c:idx val="15"/>
            <c:invertIfNegative val="0"/>
            <c:bubble3D val="0"/>
            <c:spPr>
              <a:solidFill>
                <a:schemeClr val="accent5">
                  <a:lumMod val="40000"/>
                  <a:lumOff val="60000"/>
                </a:scheme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2-9DF2-4056-88F8-945EE320327F}"/>
              </c:ext>
            </c:extLst>
          </c:dPt>
          <c:dLbls>
            <c:spPr>
              <a:noFill/>
              <a:ln>
                <a:noFill/>
              </a:ln>
              <a:effectLst/>
            </c:spPr>
            <c:txPr>
              <a:bodyPr/>
              <a:lstStyle/>
              <a:p>
                <a:pPr>
                  <a:defRPr b="1">
                    <a:solidFill>
                      <a:schemeClr val="bg1"/>
                    </a:solidFill>
                    <a:effectLst>
                      <a:outerShdw blurRad="50800" dist="38100" dir="5400000" algn="t" rotWithShape="0">
                        <a:prstClr val="black">
                          <a:alpha val="40000"/>
                        </a:prst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Sheet1!$A$645:$A$652</c:f>
              <c:strCache>
                <c:ptCount val="8"/>
                <c:pt idx="0">
                  <c:v>United States</c:v>
                </c:pt>
                <c:pt idx="1">
                  <c:v>United Kingdom</c:v>
                </c:pt>
                <c:pt idx="2">
                  <c:v>France</c:v>
                </c:pt>
                <c:pt idx="3">
                  <c:v>Germany</c:v>
                </c:pt>
                <c:pt idx="4">
                  <c:v>Russia</c:v>
                </c:pt>
                <c:pt idx="5">
                  <c:v>China</c:v>
                </c:pt>
                <c:pt idx="6">
                  <c:v>Iran</c:v>
                </c:pt>
                <c:pt idx="7">
                  <c:v>Turkey</c:v>
                </c:pt>
              </c:strCache>
            </c:strRef>
          </c:cat>
          <c:val>
            <c:numRef>
              <c:f>Sheet1!$C$645:$C$652</c:f>
              <c:numCache>
                <c:formatCode>0</c:formatCode>
                <c:ptCount val="8"/>
                <c:pt idx="0">
                  <c:v>2</c:v>
                </c:pt>
                <c:pt idx="1">
                  <c:v>6</c:v>
                </c:pt>
                <c:pt idx="2">
                  <c:v>7</c:v>
                </c:pt>
                <c:pt idx="3" formatCode="General">
                  <c:v>6</c:v>
                </c:pt>
                <c:pt idx="4">
                  <c:v>31.6</c:v>
                </c:pt>
                <c:pt idx="5" formatCode="General">
                  <c:v>32</c:v>
                </c:pt>
                <c:pt idx="6">
                  <c:v>29</c:v>
                </c:pt>
                <c:pt idx="7">
                  <c:v>34</c:v>
                </c:pt>
              </c:numCache>
            </c:numRef>
          </c:val>
          <c:extLst>
            <c:ext xmlns:c16="http://schemas.microsoft.com/office/drawing/2014/chart" uri="{C3380CC4-5D6E-409C-BE32-E72D297353CC}">
              <c16:uniqueId val="{00000013-9DF2-4056-88F8-945EE320327F}"/>
            </c:ext>
          </c:extLst>
        </c:ser>
        <c:ser>
          <c:idx val="2"/>
          <c:order val="2"/>
          <c:tx>
            <c:strRef>
              <c:f>Sheet1!$D$644</c:f>
              <c:strCache>
                <c:ptCount val="1"/>
                <c:pt idx="0">
                  <c:v>Bad</c:v>
                </c:pt>
              </c:strCache>
            </c:strRef>
          </c:tx>
          <c:spPr>
            <a:solidFill>
              <a:srgbClr val="EB9191"/>
            </a:solidFill>
            <a:ln>
              <a:noFill/>
            </a:ln>
            <a:effectLst>
              <a:outerShdw blurRad="50800" dist="12700" dir="5400000" algn="t" rotWithShape="0">
                <a:prstClr val="black">
                  <a:alpha val="30000"/>
                </a:prstClr>
              </a:outerShdw>
            </a:effectLst>
          </c:spPr>
          <c:invertIfNegative val="0"/>
          <c:dPt>
            <c:idx val="8"/>
            <c:invertIfNegative val="0"/>
            <c:bubble3D val="0"/>
            <c:spPr>
              <a:solidFill>
                <a:srgbClr val="EB9191"/>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5-9DF2-4056-88F8-945EE320327F}"/>
              </c:ext>
            </c:extLst>
          </c:dPt>
          <c:dPt>
            <c:idx val="11"/>
            <c:invertIfNegative val="0"/>
            <c:bubble3D val="0"/>
            <c:extLst>
              <c:ext xmlns:c16="http://schemas.microsoft.com/office/drawing/2014/chart" uri="{C3380CC4-5D6E-409C-BE32-E72D297353CC}">
                <c16:uniqueId val="{00000016-9DF2-4056-88F8-945EE320327F}"/>
              </c:ext>
            </c:extLst>
          </c:dPt>
          <c:dPt>
            <c:idx val="12"/>
            <c:invertIfNegative val="0"/>
            <c:bubble3D val="0"/>
            <c:extLst>
              <c:ext xmlns:c16="http://schemas.microsoft.com/office/drawing/2014/chart" uri="{C3380CC4-5D6E-409C-BE32-E72D297353CC}">
                <c16:uniqueId val="{00000017-9DF2-4056-88F8-945EE320327F}"/>
              </c:ext>
            </c:extLst>
          </c:dPt>
          <c:dPt>
            <c:idx val="13"/>
            <c:invertIfNegative val="0"/>
            <c:bubble3D val="0"/>
            <c:extLst>
              <c:ext xmlns:c16="http://schemas.microsoft.com/office/drawing/2014/chart" uri="{C3380CC4-5D6E-409C-BE32-E72D297353CC}">
                <c16:uniqueId val="{00000018-9DF2-4056-88F8-945EE320327F}"/>
              </c:ext>
            </c:extLst>
          </c:dPt>
          <c:dPt>
            <c:idx val="14"/>
            <c:invertIfNegative val="0"/>
            <c:bubble3D val="0"/>
            <c:spPr>
              <a:solidFill>
                <a:srgbClr val="EB9191"/>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A-9DF2-4056-88F8-945EE320327F}"/>
              </c:ext>
            </c:extLst>
          </c:dPt>
          <c:dPt>
            <c:idx val="15"/>
            <c:invertIfNegative val="0"/>
            <c:bubble3D val="0"/>
            <c:spPr>
              <a:solidFill>
                <a:srgbClr val="EB9191"/>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1C-9DF2-4056-88F8-945EE320327F}"/>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Sheet1!$A$645:$A$652</c:f>
              <c:strCache>
                <c:ptCount val="8"/>
                <c:pt idx="0">
                  <c:v>United States</c:v>
                </c:pt>
                <c:pt idx="1">
                  <c:v>United Kingdom</c:v>
                </c:pt>
                <c:pt idx="2">
                  <c:v>France</c:v>
                </c:pt>
                <c:pt idx="3">
                  <c:v>Germany</c:v>
                </c:pt>
                <c:pt idx="4">
                  <c:v>Russia</c:v>
                </c:pt>
                <c:pt idx="5">
                  <c:v>China</c:v>
                </c:pt>
                <c:pt idx="6">
                  <c:v>Iran</c:v>
                </c:pt>
                <c:pt idx="7">
                  <c:v>Turkey</c:v>
                </c:pt>
              </c:strCache>
            </c:strRef>
          </c:cat>
          <c:val>
            <c:numRef>
              <c:f>Sheet1!$D$645:$D$652</c:f>
              <c:numCache>
                <c:formatCode>0</c:formatCode>
                <c:ptCount val="8"/>
                <c:pt idx="0">
                  <c:v>12</c:v>
                </c:pt>
                <c:pt idx="1">
                  <c:v>24</c:v>
                </c:pt>
                <c:pt idx="2">
                  <c:v>27</c:v>
                </c:pt>
                <c:pt idx="3" formatCode="General">
                  <c:v>26</c:v>
                </c:pt>
                <c:pt idx="4">
                  <c:v>20.933333333333334</c:v>
                </c:pt>
                <c:pt idx="5" formatCode="General">
                  <c:v>21</c:v>
                </c:pt>
                <c:pt idx="6">
                  <c:v>19</c:v>
                </c:pt>
                <c:pt idx="7">
                  <c:v>24</c:v>
                </c:pt>
              </c:numCache>
            </c:numRef>
          </c:val>
          <c:extLst>
            <c:ext xmlns:c16="http://schemas.microsoft.com/office/drawing/2014/chart" uri="{C3380CC4-5D6E-409C-BE32-E72D297353CC}">
              <c16:uniqueId val="{0000001D-9DF2-4056-88F8-945EE320327F}"/>
            </c:ext>
          </c:extLst>
        </c:ser>
        <c:ser>
          <c:idx val="3"/>
          <c:order val="3"/>
          <c:tx>
            <c:strRef>
              <c:f>Sheet1!$E$644</c:f>
              <c:strCache>
                <c:ptCount val="1"/>
                <c:pt idx="0">
                  <c:v>Very bad</c:v>
                </c:pt>
              </c:strCache>
            </c:strRef>
          </c:tx>
          <c:spPr>
            <a:solidFill>
              <a:srgbClr val="C00000"/>
            </a:solidFill>
            <a:ln>
              <a:noFill/>
            </a:ln>
            <a:effectLst>
              <a:outerShdw blurRad="50800" dist="12700" dir="5400000" algn="t" rotWithShape="0">
                <a:schemeClr val="tx1">
                  <a:lumMod val="95000"/>
                  <a:lumOff val="5000"/>
                  <a:alpha val="30000"/>
                </a:schemeClr>
              </a:outerShdw>
            </a:effectLst>
          </c:spPr>
          <c:invertIfNegative val="0"/>
          <c:dPt>
            <c:idx val="8"/>
            <c:invertIfNegative val="0"/>
            <c:bubble3D val="0"/>
            <c:spPr>
              <a:solidFill>
                <a:srgbClr val="C00000"/>
              </a:solidFill>
              <a:ln w="12700">
                <a:noFill/>
              </a:ln>
              <a:effectLst>
                <a:outerShdw blurRad="50800" dist="12700" dir="5400000" algn="t" rotWithShape="0">
                  <a:schemeClr val="tx1">
                    <a:lumMod val="95000"/>
                    <a:lumOff val="5000"/>
                    <a:alpha val="30000"/>
                  </a:schemeClr>
                </a:outerShdw>
              </a:effectLst>
            </c:spPr>
            <c:extLst>
              <c:ext xmlns:c16="http://schemas.microsoft.com/office/drawing/2014/chart" uri="{C3380CC4-5D6E-409C-BE32-E72D297353CC}">
                <c16:uniqueId val="{0000001F-9DF2-4056-88F8-945EE320327F}"/>
              </c:ext>
            </c:extLst>
          </c:dPt>
          <c:dPt>
            <c:idx val="11"/>
            <c:invertIfNegative val="0"/>
            <c:bubble3D val="0"/>
            <c:extLst>
              <c:ext xmlns:c16="http://schemas.microsoft.com/office/drawing/2014/chart" uri="{C3380CC4-5D6E-409C-BE32-E72D297353CC}">
                <c16:uniqueId val="{00000020-9DF2-4056-88F8-945EE320327F}"/>
              </c:ext>
            </c:extLst>
          </c:dPt>
          <c:dPt>
            <c:idx val="12"/>
            <c:invertIfNegative val="0"/>
            <c:bubble3D val="0"/>
            <c:extLst>
              <c:ext xmlns:c16="http://schemas.microsoft.com/office/drawing/2014/chart" uri="{C3380CC4-5D6E-409C-BE32-E72D297353CC}">
                <c16:uniqueId val="{00000021-9DF2-4056-88F8-945EE320327F}"/>
              </c:ext>
            </c:extLst>
          </c:dPt>
          <c:dPt>
            <c:idx val="13"/>
            <c:invertIfNegative val="0"/>
            <c:bubble3D val="0"/>
            <c:extLst>
              <c:ext xmlns:c16="http://schemas.microsoft.com/office/drawing/2014/chart" uri="{C3380CC4-5D6E-409C-BE32-E72D297353CC}">
                <c16:uniqueId val="{00000022-9DF2-4056-88F8-945EE320327F}"/>
              </c:ext>
            </c:extLst>
          </c:dPt>
          <c:dPt>
            <c:idx val="14"/>
            <c:invertIfNegative val="0"/>
            <c:bubble3D val="0"/>
            <c:spPr>
              <a:solidFill>
                <a:srgbClr val="C00000"/>
              </a:solidFill>
              <a:ln>
                <a:solidFill>
                  <a:sysClr val="windowText" lastClr="000000"/>
                </a:solidFill>
              </a:ln>
              <a:effectLst>
                <a:outerShdw blurRad="50800" dist="12700" dir="5400000" algn="t" rotWithShape="0">
                  <a:schemeClr val="tx1">
                    <a:lumMod val="95000"/>
                    <a:lumOff val="5000"/>
                    <a:alpha val="30000"/>
                  </a:schemeClr>
                </a:outerShdw>
              </a:effectLst>
            </c:spPr>
            <c:extLst>
              <c:ext xmlns:c16="http://schemas.microsoft.com/office/drawing/2014/chart" uri="{C3380CC4-5D6E-409C-BE32-E72D297353CC}">
                <c16:uniqueId val="{00000024-9DF2-4056-88F8-945EE320327F}"/>
              </c:ext>
            </c:extLst>
          </c:dPt>
          <c:dPt>
            <c:idx val="15"/>
            <c:invertIfNegative val="0"/>
            <c:bubble3D val="0"/>
            <c:spPr>
              <a:solidFill>
                <a:srgbClr val="C00000"/>
              </a:solidFill>
              <a:ln>
                <a:solidFill>
                  <a:sysClr val="windowText" lastClr="000000"/>
                </a:solidFill>
              </a:ln>
              <a:effectLst>
                <a:outerShdw blurRad="50800" dist="12700" dir="5400000" algn="t" rotWithShape="0">
                  <a:schemeClr val="tx1">
                    <a:lumMod val="95000"/>
                    <a:lumOff val="5000"/>
                    <a:alpha val="30000"/>
                  </a:schemeClr>
                </a:outerShdw>
              </a:effectLst>
            </c:spPr>
            <c:extLst>
              <c:ext xmlns:c16="http://schemas.microsoft.com/office/drawing/2014/chart" uri="{C3380CC4-5D6E-409C-BE32-E72D297353CC}">
                <c16:uniqueId val="{00000026-9DF2-4056-88F8-945EE320327F}"/>
              </c:ext>
            </c:extLst>
          </c:dPt>
          <c:dLbls>
            <c:dLbl>
              <c:idx val="13"/>
              <c:layout>
                <c:manualLayout>
                  <c:x val="1.93663460347532E-2"/>
                  <c:y val="7.349141659833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DF2-4056-88F8-945EE320327F}"/>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Sheet1!$A$645:$A$652</c:f>
              <c:strCache>
                <c:ptCount val="8"/>
                <c:pt idx="0">
                  <c:v>United States</c:v>
                </c:pt>
                <c:pt idx="1">
                  <c:v>United Kingdom</c:v>
                </c:pt>
                <c:pt idx="2">
                  <c:v>France</c:v>
                </c:pt>
                <c:pt idx="3">
                  <c:v>Germany</c:v>
                </c:pt>
                <c:pt idx="4">
                  <c:v>Russia</c:v>
                </c:pt>
                <c:pt idx="5">
                  <c:v>China</c:v>
                </c:pt>
                <c:pt idx="6">
                  <c:v>Iran</c:v>
                </c:pt>
                <c:pt idx="7">
                  <c:v>Turkey</c:v>
                </c:pt>
              </c:strCache>
            </c:strRef>
          </c:cat>
          <c:val>
            <c:numRef>
              <c:f>Sheet1!$E$645:$E$652</c:f>
              <c:numCache>
                <c:formatCode>0</c:formatCode>
                <c:ptCount val="8"/>
                <c:pt idx="0">
                  <c:v>82</c:v>
                </c:pt>
                <c:pt idx="1">
                  <c:v>54</c:v>
                </c:pt>
                <c:pt idx="2">
                  <c:v>52</c:v>
                </c:pt>
                <c:pt idx="3" formatCode="General">
                  <c:v>49</c:v>
                </c:pt>
                <c:pt idx="4">
                  <c:v>21.333333333333332</c:v>
                </c:pt>
                <c:pt idx="5" formatCode="General">
                  <c:v>17</c:v>
                </c:pt>
                <c:pt idx="6">
                  <c:v>18</c:v>
                </c:pt>
                <c:pt idx="7">
                  <c:v>16</c:v>
                </c:pt>
              </c:numCache>
            </c:numRef>
          </c:val>
          <c:extLst>
            <c:ext xmlns:c16="http://schemas.microsoft.com/office/drawing/2014/chart" uri="{C3380CC4-5D6E-409C-BE32-E72D297353CC}">
              <c16:uniqueId val="{00000027-9DF2-4056-88F8-945EE320327F}"/>
            </c:ext>
          </c:extLst>
        </c:ser>
        <c:ser>
          <c:idx val="4"/>
          <c:order val="4"/>
          <c:tx>
            <c:strRef>
              <c:f>Sheet1!$F$644</c:f>
              <c:strCache>
                <c:ptCount val="1"/>
                <c:pt idx="0">
                  <c:v>Don't know / Declined to answer</c:v>
                </c:pt>
              </c:strCache>
            </c:strRef>
          </c:tx>
          <c:spPr>
            <a:solidFill>
              <a:sysClr val="window" lastClr="FFFFFF">
                <a:lumMod val="85000"/>
              </a:sysClr>
            </a:solidFill>
            <a:ln>
              <a:noFill/>
            </a:ln>
            <a:effectLst>
              <a:outerShdw blurRad="50800" dist="12700" dir="5400000" algn="t" rotWithShape="0">
                <a:prstClr val="black">
                  <a:alpha val="30000"/>
                </a:prstClr>
              </a:outerShdw>
            </a:effectLst>
          </c:spPr>
          <c:invertIfNegative val="0"/>
          <c:dPt>
            <c:idx val="8"/>
            <c:invertIfNegative val="0"/>
            <c:bubble3D val="0"/>
            <c:spPr>
              <a:solidFill>
                <a:sysClr val="window" lastClr="FFFFFF">
                  <a:lumMod val="85000"/>
                </a:sysClr>
              </a:solidFill>
              <a:ln w="12700">
                <a:no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29-9DF2-4056-88F8-945EE320327F}"/>
              </c:ext>
            </c:extLst>
          </c:dPt>
          <c:dPt>
            <c:idx val="12"/>
            <c:invertIfNegative val="0"/>
            <c:bubble3D val="0"/>
            <c:extLst>
              <c:ext xmlns:c16="http://schemas.microsoft.com/office/drawing/2014/chart" uri="{C3380CC4-5D6E-409C-BE32-E72D297353CC}">
                <c16:uniqueId val="{0000002A-9DF2-4056-88F8-945EE320327F}"/>
              </c:ext>
            </c:extLst>
          </c:dPt>
          <c:dPt>
            <c:idx val="14"/>
            <c:invertIfNegative val="0"/>
            <c:bubble3D val="0"/>
            <c:spPr>
              <a:solidFill>
                <a:sysClr val="window" lastClr="FFFFFF">
                  <a:lumMod val="85000"/>
                </a:sys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2C-9DF2-4056-88F8-945EE320327F}"/>
              </c:ext>
            </c:extLst>
          </c:dPt>
          <c:dPt>
            <c:idx val="15"/>
            <c:invertIfNegative val="0"/>
            <c:bubble3D val="0"/>
            <c:spPr>
              <a:solidFill>
                <a:sysClr val="window" lastClr="FFFFFF">
                  <a:lumMod val="85000"/>
                </a:sysClr>
              </a:solidFill>
              <a:ln>
                <a:solidFill>
                  <a:sysClr val="windowText" lastClr="000000"/>
                </a:solidFill>
              </a:ln>
              <a:effectLst>
                <a:outerShdw blurRad="50800" dist="12700" dir="5400000" algn="t" rotWithShape="0">
                  <a:prstClr val="black">
                    <a:alpha val="30000"/>
                  </a:prstClr>
                </a:outerShdw>
              </a:effectLst>
            </c:spPr>
            <c:extLst>
              <c:ext xmlns:c16="http://schemas.microsoft.com/office/drawing/2014/chart" uri="{C3380CC4-5D6E-409C-BE32-E72D297353CC}">
                <c16:uniqueId val="{0000002E-9DF2-4056-88F8-945EE320327F}"/>
              </c:ext>
            </c:extLst>
          </c:dPt>
          <c:dLbls>
            <c:dLbl>
              <c:idx val="12"/>
              <c:layout>
                <c:manualLayout>
                  <c:x val="-2.1518162260837064E-3"/>
                  <c:y val="3.67471549236456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DF2-4056-88F8-945EE320327F}"/>
                </c:ext>
              </c:extLst>
            </c:dLbl>
            <c:dLbl>
              <c:idx val="13"/>
              <c:layout>
                <c:manualLayout>
                  <c:x val="6.5349133877025565E-3"/>
                  <c:y val="3.68599916327240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DF2-4056-88F8-945EE320327F}"/>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Sheet1!$A$645:$A$652</c:f>
              <c:strCache>
                <c:ptCount val="8"/>
                <c:pt idx="0">
                  <c:v>United States</c:v>
                </c:pt>
                <c:pt idx="1">
                  <c:v>United Kingdom</c:v>
                </c:pt>
                <c:pt idx="2">
                  <c:v>France</c:v>
                </c:pt>
                <c:pt idx="3">
                  <c:v>Germany</c:v>
                </c:pt>
                <c:pt idx="4">
                  <c:v>Russia</c:v>
                </c:pt>
                <c:pt idx="5">
                  <c:v>China</c:v>
                </c:pt>
                <c:pt idx="6">
                  <c:v>Iran</c:v>
                </c:pt>
                <c:pt idx="7">
                  <c:v>Turkey</c:v>
                </c:pt>
              </c:strCache>
            </c:strRef>
          </c:cat>
          <c:val>
            <c:numRef>
              <c:f>Sheet1!$F$645:$F$652</c:f>
              <c:numCache>
                <c:formatCode>0</c:formatCode>
                <c:ptCount val="8"/>
                <c:pt idx="0">
                  <c:v>3</c:v>
                </c:pt>
                <c:pt idx="1">
                  <c:v>14</c:v>
                </c:pt>
                <c:pt idx="2">
                  <c:v>11</c:v>
                </c:pt>
                <c:pt idx="3" formatCode="General">
                  <c:v>16</c:v>
                </c:pt>
                <c:pt idx="4">
                  <c:v>17.133333333333333</c:v>
                </c:pt>
                <c:pt idx="5" formatCode="General">
                  <c:v>22</c:v>
                </c:pt>
                <c:pt idx="6">
                  <c:v>15</c:v>
                </c:pt>
                <c:pt idx="7">
                  <c:v>13</c:v>
                </c:pt>
              </c:numCache>
            </c:numRef>
          </c:val>
          <c:extLst>
            <c:ext xmlns:c16="http://schemas.microsoft.com/office/drawing/2014/chart" uri="{C3380CC4-5D6E-409C-BE32-E72D297353CC}">
              <c16:uniqueId val="{00000030-9DF2-4056-88F8-945EE320327F}"/>
            </c:ext>
          </c:extLst>
        </c:ser>
        <c:dLbls>
          <c:showLegendKey val="0"/>
          <c:showVal val="0"/>
          <c:showCatName val="0"/>
          <c:showSerName val="0"/>
          <c:showPercent val="0"/>
          <c:showBubbleSize val="0"/>
        </c:dLbls>
        <c:gapWidth val="40"/>
        <c:overlap val="100"/>
        <c:axId val="103103872"/>
        <c:axId val="103130240"/>
      </c:barChart>
      <c:catAx>
        <c:axId val="103103872"/>
        <c:scaling>
          <c:orientation val="maxMin"/>
        </c:scaling>
        <c:delete val="0"/>
        <c:axPos val="l"/>
        <c:numFmt formatCode="General" sourceLinked="1"/>
        <c:majorTickMark val="out"/>
        <c:minorTickMark val="none"/>
        <c:tickLblPos val="nextTo"/>
        <c:txPr>
          <a:bodyPr/>
          <a:lstStyle/>
          <a:p>
            <a:pPr>
              <a:defRPr b="1"/>
            </a:pPr>
            <a:endParaRPr lang="en-US"/>
          </a:p>
        </c:txPr>
        <c:crossAx val="103130240"/>
        <c:crosses val="autoZero"/>
        <c:auto val="1"/>
        <c:lblAlgn val="ctr"/>
        <c:lblOffset val="100"/>
        <c:noMultiLvlLbl val="0"/>
      </c:catAx>
      <c:valAx>
        <c:axId val="103130240"/>
        <c:scaling>
          <c:orientation val="minMax"/>
          <c:max val="100"/>
          <c:min val="0"/>
        </c:scaling>
        <c:delete val="0"/>
        <c:axPos val="t"/>
        <c:numFmt formatCode="0" sourceLinked="1"/>
        <c:majorTickMark val="out"/>
        <c:minorTickMark val="none"/>
        <c:tickLblPos val="nextTo"/>
        <c:crossAx val="103103872"/>
        <c:crosses val="autoZero"/>
        <c:crossBetween val="between"/>
        <c:majorUnit val="10"/>
      </c:valAx>
      <c:spPr>
        <a:noFill/>
        <a:ln w="25400">
          <a:noFill/>
        </a:ln>
      </c:spPr>
    </c:plotArea>
    <c:legend>
      <c:legendPos val="b"/>
      <c:layout>
        <c:manualLayout>
          <c:xMode val="edge"/>
          <c:yMode val="edge"/>
          <c:x val="0.18427244667488163"/>
          <c:y val="0.86774162752809592"/>
          <c:w val="0.76817397014733202"/>
          <c:h val="0.10481729160569606"/>
        </c:manualLayout>
      </c:layout>
      <c:overlay val="0"/>
      <c:spPr>
        <a:solidFill>
          <a:schemeClr val="bg1">
            <a:lumMod val="95000"/>
          </a:schemeClr>
        </a:solidFill>
        <a:ln w="127000" cap="rnd">
          <a:solidFill>
            <a:schemeClr val="bg1">
              <a:lumMod val="95000"/>
            </a:schemeClr>
          </a:solidFill>
        </a:ln>
      </c:sp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574996524297"/>
          <c:y val="0.11409517541097611"/>
          <c:w val="0.56500286960022617"/>
          <c:h val="0.93108139901042775"/>
        </c:manualLayout>
      </c:layout>
      <c:pieChart>
        <c:varyColors val="1"/>
        <c:ser>
          <c:idx val="0"/>
          <c:order val="0"/>
          <c:explosion val="4"/>
          <c:dPt>
            <c:idx val="0"/>
            <c:bubble3D val="0"/>
            <c:explosion val="18"/>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741A-4673-9E34-9A4EEF26AE13}"/>
              </c:ext>
            </c:extLst>
          </c:dPt>
          <c:dPt>
            <c:idx val="1"/>
            <c:bubble3D val="0"/>
            <c:spPr>
              <a:solidFill>
                <a:srgbClr val="4BACC6">
                  <a:lumMod val="60000"/>
                  <a:lumOff val="40000"/>
                </a:srgbClr>
              </a:solidFill>
            </c:spPr>
            <c:extLst>
              <c:ext xmlns:c16="http://schemas.microsoft.com/office/drawing/2014/chart" uri="{C3380CC4-5D6E-409C-BE32-E72D297353CC}">
                <c16:uniqueId val="{00000003-741A-4673-9E34-9A4EEF26AE13}"/>
              </c:ext>
            </c:extLst>
          </c:dPt>
          <c:dPt>
            <c:idx val="2"/>
            <c:bubble3D val="0"/>
            <c:spPr>
              <a:solidFill>
                <a:srgbClr val="C0504D">
                  <a:lumMod val="60000"/>
                  <a:lumOff val="40000"/>
                </a:srgbClr>
              </a:solidFill>
            </c:spPr>
            <c:extLst>
              <c:ext xmlns:c16="http://schemas.microsoft.com/office/drawing/2014/chart" uri="{C3380CC4-5D6E-409C-BE32-E72D297353CC}">
                <c16:uniqueId val="{00000005-741A-4673-9E34-9A4EEF26AE13}"/>
              </c:ext>
            </c:extLst>
          </c:dPt>
          <c:dPt>
            <c:idx val="3"/>
            <c:bubble3D val="0"/>
            <c:spPr>
              <a:solidFill>
                <a:srgbClr val="C0504D">
                  <a:lumMod val="75000"/>
                </a:srgbClr>
              </a:solidFill>
            </c:spPr>
            <c:extLst>
              <c:ext xmlns:c16="http://schemas.microsoft.com/office/drawing/2014/chart" uri="{C3380CC4-5D6E-409C-BE32-E72D297353CC}">
                <c16:uniqueId val="{00000007-741A-4673-9E34-9A4EEF26AE13}"/>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741A-4673-9E34-9A4EEF26AE13}"/>
              </c:ext>
            </c:extLst>
          </c:dPt>
          <c:dLbls>
            <c:dLbl>
              <c:idx val="0"/>
              <c:layout>
                <c:manualLayout>
                  <c:x val="-0.130681859757213"/>
                  <c:y val="-1.4244418126083087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41A-4673-9E34-9A4EEF26AE13}"/>
                </c:ext>
              </c:extLst>
            </c:dLbl>
            <c:dLbl>
              <c:idx val="1"/>
              <c:layout>
                <c:manualLayout>
                  <c:x val="-2.0002899468034508E-2"/>
                  <c:y val="3.17499656349011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41A-4673-9E34-9A4EEF26AE13}"/>
                </c:ext>
              </c:extLst>
            </c:dLbl>
            <c:dLbl>
              <c:idx val="2"/>
              <c:layout>
                <c:manualLayout>
                  <c:x val="-8.3102000907341433E-2"/>
                  <c:y val="0.1030949580474935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41A-4673-9E34-9A4EEF26AE13}"/>
                </c:ext>
              </c:extLst>
            </c:dLbl>
            <c:dLbl>
              <c:idx val="3"/>
              <c:layout>
                <c:manualLayout>
                  <c:x val="-0.10246486795987211"/>
                  <c:y val="-6.103850990222706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41A-4673-9E34-9A4EEF26AE13}"/>
                </c:ext>
              </c:extLst>
            </c:dLbl>
            <c:dLbl>
              <c:idx val="4"/>
              <c:layout>
                <c:manualLayout>
                  <c:x val="0.1411401834303814"/>
                  <c:y val="-0.12411276924580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41A-4673-9E34-9A4EEF26AE13}"/>
                </c:ext>
              </c:extLst>
            </c:dLbl>
            <c:spPr>
              <a:noFill/>
              <a:ln>
                <a:noFill/>
              </a:ln>
              <a:effectLst/>
            </c:spPr>
            <c:txPr>
              <a:bodyPr/>
              <a:lstStyle/>
              <a:p>
                <a:pPr>
                  <a:defRPr sz="1000" b="1"/>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Sheet1!$B$353:$E$353</c:f>
              <c:strCache>
                <c:ptCount val="4"/>
                <c:pt idx="0">
                  <c:v>Has become more negative than before the war</c:v>
                </c:pt>
                <c:pt idx="1">
                  <c:v>Has not changed</c:v>
                </c:pt>
                <c:pt idx="2">
                  <c:v>Has become more positive than before the war</c:v>
                </c:pt>
                <c:pt idx="3">
                  <c:v>Don't know / Declined to answer </c:v>
                </c:pt>
              </c:strCache>
            </c:strRef>
          </c:cat>
          <c:val>
            <c:numRef>
              <c:f>Sheet1!$B$370:$E$370</c:f>
              <c:numCache>
                <c:formatCode>0</c:formatCode>
                <c:ptCount val="4"/>
                <c:pt idx="0">
                  <c:v>75.6875</c:v>
                </c:pt>
                <c:pt idx="1">
                  <c:v>18.5625</c:v>
                </c:pt>
                <c:pt idx="2">
                  <c:v>1.2</c:v>
                </c:pt>
                <c:pt idx="3">
                  <c:v>4</c:v>
                </c:pt>
              </c:numCache>
            </c:numRef>
          </c:val>
          <c:extLst>
            <c:ext xmlns:c16="http://schemas.microsoft.com/office/drawing/2014/chart" uri="{C3380CC4-5D6E-409C-BE32-E72D297353CC}">
              <c16:uniqueId val="{0000000A-741A-4673-9E34-9A4EEF26AE13}"/>
            </c:ext>
          </c:extLst>
        </c:ser>
        <c:dLbls>
          <c:showLegendKey val="0"/>
          <c:showVal val="0"/>
          <c:showCatName val="0"/>
          <c:showSerName val="0"/>
          <c:showPercent val="0"/>
          <c:showBubbleSize val="0"/>
          <c:showLeaderLines val="1"/>
        </c:dLbls>
        <c:firstSliceAng val="318"/>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41340912680032"/>
          <c:y val="3.6741216370289667E-2"/>
          <c:w val="0.56500286960022617"/>
          <c:h val="0.93108139901042775"/>
        </c:manualLayout>
      </c:layout>
      <c:pieChart>
        <c:varyColors val="1"/>
        <c:ser>
          <c:idx val="0"/>
          <c:order val="0"/>
          <c:explosion val="4"/>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D38D-4585-A96A-EBAC2ECA019B}"/>
              </c:ext>
            </c:extLst>
          </c:dPt>
          <c:dPt>
            <c:idx val="1"/>
            <c:bubble3D val="0"/>
            <c:spPr>
              <a:solidFill>
                <a:srgbClr val="4BACC6">
                  <a:lumMod val="60000"/>
                  <a:lumOff val="40000"/>
                </a:srgbClr>
              </a:solidFill>
            </c:spPr>
            <c:extLst>
              <c:ext xmlns:c16="http://schemas.microsoft.com/office/drawing/2014/chart" uri="{C3380CC4-5D6E-409C-BE32-E72D297353CC}">
                <c16:uniqueId val="{00000003-D38D-4585-A96A-EBAC2ECA019B}"/>
              </c:ext>
            </c:extLst>
          </c:dPt>
          <c:dPt>
            <c:idx val="2"/>
            <c:bubble3D val="0"/>
            <c:spPr>
              <a:solidFill>
                <a:srgbClr val="C0504D">
                  <a:lumMod val="60000"/>
                  <a:lumOff val="40000"/>
                </a:srgbClr>
              </a:solidFill>
            </c:spPr>
            <c:extLst>
              <c:ext xmlns:c16="http://schemas.microsoft.com/office/drawing/2014/chart" uri="{C3380CC4-5D6E-409C-BE32-E72D297353CC}">
                <c16:uniqueId val="{00000005-D38D-4585-A96A-EBAC2ECA019B}"/>
              </c:ext>
            </c:extLst>
          </c:dPt>
          <c:dPt>
            <c:idx val="3"/>
            <c:bubble3D val="0"/>
            <c:spPr>
              <a:solidFill>
                <a:srgbClr val="C0504D">
                  <a:lumMod val="75000"/>
                </a:srgbClr>
              </a:solidFill>
            </c:spPr>
            <c:extLst>
              <c:ext xmlns:c16="http://schemas.microsoft.com/office/drawing/2014/chart" uri="{C3380CC4-5D6E-409C-BE32-E72D297353CC}">
                <c16:uniqueId val="{00000007-D38D-4585-A96A-EBAC2ECA019B}"/>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D38D-4585-A96A-EBAC2ECA019B}"/>
              </c:ext>
            </c:extLst>
          </c:dPt>
          <c:dLbls>
            <c:dLbl>
              <c:idx val="0"/>
              <c:layout>
                <c:manualLayout>
                  <c:x val="-5.4830847561401365E-2"/>
                  <c:y val="-4.415448272547050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38D-4585-A96A-EBAC2ECA019B}"/>
                </c:ext>
              </c:extLst>
            </c:dLbl>
            <c:dLbl>
              <c:idx val="1"/>
              <c:layout>
                <c:manualLayout>
                  <c:x val="-2.781831971234152E-2"/>
                  <c:y val="-4.994769817685617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38D-4585-A96A-EBAC2ECA019B}"/>
                </c:ext>
              </c:extLst>
            </c:dLbl>
            <c:dLbl>
              <c:idx val="2"/>
              <c:layout>
                <c:manualLayout>
                  <c:x val="-7.6174721928321809E-3"/>
                  <c:y val="5.518709493630842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38D-4585-A96A-EBAC2ECA019B}"/>
                </c:ext>
              </c:extLst>
            </c:dLbl>
            <c:dLbl>
              <c:idx val="3"/>
              <c:layout>
                <c:manualLayout>
                  <c:x val="-0.22635244074696687"/>
                  <c:y val="-2.5506664277416116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38D-4585-A96A-EBAC2ECA019B}"/>
                </c:ext>
              </c:extLst>
            </c:dLbl>
            <c:dLbl>
              <c:idx val="4"/>
              <c:layout>
                <c:manualLayout>
                  <c:x val="-3.4624287701471306E-3"/>
                  <c:y val="-7.407030405335120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38D-4585-A96A-EBAC2ECA019B}"/>
                </c:ext>
              </c:extLst>
            </c:dLbl>
            <c:spPr>
              <a:noFill/>
              <a:ln>
                <a:noFill/>
              </a:ln>
              <a:effectLst/>
            </c:spPr>
            <c:txPr>
              <a:bodyPr/>
              <a:lstStyle/>
              <a:p>
                <a:pPr>
                  <a:defRPr sz="1000" b="1"/>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Sheet1!$B$798:$F$798</c:f>
              <c:strCache>
                <c:ptCount val="5"/>
                <c:pt idx="0">
                  <c:v>Very serious</c:v>
                </c:pt>
                <c:pt idx="1">
                  <c:v>Somewhat serious</c:v>
                </c:pt>
                <c:pt idx="2">
                  <c:v>Somewhat unserious</c:v>
                </c:pt>
                <c:pt idx="3">
                  <c:v>Not at all serious</c:v>
                </c:pt>
                <c:pt idx="4">
                  <c:v>Don't know / Declined to answer </c:v>
                </c:pt>
              </c:strCache>
            </c:strRef>
          </c:cat>
          <c:val>
            <c:numRef>
              <c:f>Sheet1!$B$815:$F$815</c:f>
              <c:numCache>
                <c:formatCode>0</c:formatCode>
                <c:ptCount val="5"/>
                <c:pt idx="0">
                  <c:v>6</c:v>
                </c:pt>
                <c:pt idx="1">
                  <c:v>8.125</c:v>
                </c:pt>
                <c:pt idx="2">
                  <c:v>12.5</c:v>
                </c:pt>
                <c:pt idx="3">
                  <c:v>68.375</c:v>
                </c:pt>
                <c:pt idx="4">
                  <c:v>5</c:v>
                </c:pt>
              </c:numCache>
            </c:numRef>
          </c:val>
          <c:extLst>
            <c:ext xmlns:c16="http://schemas.microsoft.com/office/drawing/2014/chart" uri="{C3380CC4-5D6E-409C-BE32-E72D297353CC}">
              <c16:uniqueId val="{0000000A-D38D-4585-A96A-EBAC2ECA019B}"/>
            </c:ext>
          </c:extLst>
        </c:ser>
        <c:dLbls>
          <c:showLegendKey val="0"/>
          <c:showVal val="0"/>
          <c:showCatName val="0"/>
          <c:showSerName val="0"/>
          <c:showPercent val="0"/>
          <c:showBubbleSize val="0"/>
          <c:showLeaderLines val="1"/>
        </c:dLbls>
        <c:firstSliceAng val="24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0528045736467"/>
          <c:y val="8.435127797197324E-2"/>
          <c:w val="0.56500286960022617"/>
          <c:h val="0.93108139901042775"/>
        </c:manualLayout>
      </c:layout>
      <c:pieChart>
        <c:varyColors val="1"/>
        <c:ser>
          <c:idx val="0"/>
          <c:order val="0"/>
          <c:explosion val="16"/>
          <c:dPt>
            <c:idx val="0"/>
            <c:bubble3D val="0"/>
            <c:spPr>
              <a:gradFill>
                <a:gsLst>
                  <a:gs pos="0">
                    <a:srgbClr val="4BACC6">
                      <a:lumMod val="75000"/>
                    </a:srgbClr>
                  </a:gs>
                  <a:gs pos="50000">
                    <a:srgbClr val="4BACC6">
                      <a:lumMod val="75000"/>
                    </a:srgbClr>
                  </a:gs>
                  <a:gs pos="100000">
                    <a:srgbClr val="4BACC6">
                      <a:lumMod val="75000"/>
                    </a:srgbClr>
                  </a:gs>
                </a:gsLst>
                <a:lin ang="5400000" scaled="0"/>
              </a:gradFill>
            </c:spPr>
            <c:extLst>
              <c:ext xmlns:c16="http://schemas.microsoft.com/office/drawing/2014/chart" uri="{C3380CC4-5D6E-409C-BE32-E72D297353CC}">
                <c16:uniqueId val="{00000001-7B2D-41AF-B9EF-1F4C4AAE397A}"/>
              </c:ext>
            </c:extLst>
          </c:dPt>
          <c:dPt>
            <c:idx val="1"/>
            <c:bubble3D val="0"/>
            <c:spPr>
              <a:solidFill>
                <a:srgbClr val="4BACC6">
                  <a:lumMod val="60000"/>
                  <a:lumOff val="40000"/>
                </a:srgbClr>
              </a:solidFill>
            </c:spPr>
            <c:extLst>
              <c:ext xmlns:c16="http://schemas.microsoft.com/office/drawing/2014/chart" uri="{C3380CC4-5D6E-409C-BE32-E72D297353CC}">
                <c16:uniqueId val="{00000003-7B2D-41AF-B9EF-1F4C4AAE397A}"/>
              </c:ext>
            </c:extLst>
          </c:dPt>
          <c:dPt>
            <c:idx val="2"/>
            <c:bubble3D val="0"/>
            <c:spPr>
              <a:solidFill>
                <a:srgbClr val="C0504D">
                  <a:lumMod val="60000"/>
                  <a:lumOff val="40000"/>
                </a:srgbClr>
              </a:solidFill>
            </c:spPr>
            <c:extLst>
              <c:ext xmlns:c16="http://schemas.microsoft.com/office/drawing/2014/chart" uri="{C3380CC4-5D6E-409C-BE32-E72D297353CC}">
                <c16:uniqueId val="{00000005-7B2D-41AF-B9EF-1F4C4AAE397A}"/>
              </c:ext>
            </c:extLst>
          </c:dPt>
          <c:dPt>
            <c:idx val="3"/>
            <c:bubble3D val="0"/>
            <c:spPr>
              <a:solidFill>
                <a:srgbClr val="C0504D">
                  <a:lumMod val="75000"/>
                </a:srgbClr>
              </a:solidFill>
            </c:spPr>
            <c:extLst>
              <c:ext xmlns:c16="http://schemas.microsoft.com/office/drawing/2014/chart" uri="{C3380CC4-5D6E-409C-BE32-E72D297353CC}">
                <c16:uniqueId val="{00000007-7B2D-41AF-B9EF-1F4C4AAE397A}"/>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9-7B2D-41AF-B9EF-1F4C4AAE397A}"/>
              </c:ext>
            </c:extLst>
          </c:dPt>
          <c:dLbls>
            <c:dLbl>
              <c:idx val="0"/>
              <c:layout>
                <c:manualLayout>
                  <c:x val="-8.3923251720187917E-4"/>
                  <c:y val="-6.356063416125279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B2D-41AF-B9EF-1F4C4AAE397A}"/>
                </c:ext>
              </c:extLst>
            </c:dLbl>
            <c:dLbl>
              <c:idx val="1"/>
              <c:layout>
                <c:manualLayout>
                  <c:x val="-1.0492566505368495E-2"/>
                  <c:y val="-0.1091498810964300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B2D-41AF-B9EF-1F4C4AAE397A}"/>
                </c:ext>
              </c:extLst>
            </c:dLbl>
            <c:dLbl>
              <c:idx val="2"/>
              <c:layout>
                <c:manualLayout>
                  <c:x val="-0.19466644454135215"/>
                  <c:y val="5.3479185354995108E-2"/>
                </c:manualLayout>
              </c:layout>
              <c:spPr>
                <a:noFill/>
                <a:ln>
                  <a:noFill/>
                </a:ln>
                <a:effectLst/>
              </c:spPr>
              <c:txPr>
                <a:bodyPr/>
                <a:lstStyle/>
                <a:p>
                  <a:pPr>
                    <a:defRPr sz="1000" b="1">
                      <a:solidFill>
                        <a:schemeClr val="bg1"/>
                      </a:solidFill>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B2D-41AF-B9EF-1F4C4AAE397A}"/>
                </c:ext>
              </c:extLst>
            </c:dLbl>
            <c:dLbl>
              <c:idx val="3"/>
              <c:layout>
                <c:manualLayout>
                  <c:x val="-2.3750666770348604E-2"/>
                  <c:y val="4.059303280353366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B2D-41AF-B9EF-1F4C4AAE397A}"/>
                </c:ext>
              </c:extLst>
            </c:dLbl>
            <c:dLbl>
              <c:idx val="4"/>
              <c:layout>
                <c:manualLayout>
                  <c:x val="0.1411401834303814"/>
                  <c:y val="-0.12411276924580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B2D-41AF-B9EF-1F4C4AAE397A}"/>
                </c:ext>
              </c:extLst>
            </c:dLbl>
            <c:spPr>
              <a:noFill/>
              <a:ln>
                <a:noFill/>
              </a:ln>
              <a:effectLst/>
            </c:spPr>
            <c:txPr>
              <a:bodyPr/>
              <a:lstStyle/>
              <a:p>
                <a:pPr>
                  <a:defRPr sz="1000" b="1"/>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Sheet1!$B$729:$E$729</c:f>
              <c:strCache>
                <c:ptCount val="4"/>
                <c:pt idx="0">
                  <c:v>Biased in favour of Palestine</c:v>
                </c:pt>
                <c:pt idx="1">
                  <c:v>Unbiased / neutral / professional</c:v>
                </c:pt>
                <c:pt idx="2">
                  <c:v>Biased in favour of Israel</c:v>
                </c:pt>
                <c:pt idx="3">
                  <c:v>Don't know / Declined to answer </c:v>
                </c:pt>
              </c:strCache>
            </c:strRef>
          </c:cat>
          <c:val>
            <c:numRef>
              <c:f>Sheet1!$B$746:$E$746</c:f>
              <c:numCache>
                <c:formatCode>0</c:formatCode>
                <c:ptCount val="4"/>
                <c:pt idx="0">
                  <c:v>4</c:v>
                </c:pt>
                <c:pt idx="1">
                  <c:v>6.5</c:v>
                </c:pt>
                <c:pt idx="2">
                  <c:v>81.875</c:v>
                </c:pt>
                <c:pt idx="3">
                  <c:v>7</c:v>
                </c:pt>
              </c:numCache>
            </c:numRef>
          </c:val>
          <c:extLst>
            <c:ext xmlns:c16="http://schemas.microsoft.com/office/drawing/2014/chart" uri="{C3380CC4-5D6E-409C-BE32-E72D297353CC}">
              <c16:uniqueId val="{0000000A-7B2D-41AF-B9EF-1F4C4AAE397A}"/>
            </c:ext>
          </c:extLst>
        </c:ser>
        <c:dLbls>
          <c:showLegendKey val="0"/>
          <c:showVal val="0"/>
          <c:showCatName val="0"/>
          <c:showSerName val="0"/>
          <c:showPercent val="0"/>
          <c:showBubbleSize val="0"/>
          <c:showLeaderLines val="1"/>
        </c:dLbls>
        <c:firstSliceAng val="260"/>
      </c:pieChart>
      <c:spPr>
        <a:noFill/>
        <a:ln w="25400">
          <a:noFill/>
        </a:ln>
      </c:spPr>
    </c:plotArea>
    <c:plotVisOnly val="1"/>
    <c:dispBlanksAs val="gap"/>
    <c:showDLblsOverMax val="0"/>
  </c:chart>
  <c:spPr>
    <a:ln>
      <a:noFill/>
    </a:ln>
  </c:spPr>
  <c:txPr>
    <a:bodyPr/>
    <a:lstStyle/>
    <a:p>
      <a:pPr>
        <a:defRPr sz="15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a56ee4-34db-4f94-8b00-1783170fd606" xsi:nil="true"/>
    <lcf76f155ced4ddcb4097134ff3c332f xmlns="90a28909-8281-48e9-b3f3-b7539e38922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3E1A39DA36A140ADA2E60A4FE37591" ma:contentTypeVersion="17" ma:contentTypeDescription="Create a new document." ma:contentTypeScope="" ma:versionID="cb83c8ac621fa372e8f25620ffece904">
  <xsd:schema xmlns:xsd="http://www.w3.org/2001/XMLSchema" xmlns:xs="http://www.w3.org/2001/XMLSchema" xmlns:p="http://schemas.microsoft.com/office/2006/metadata/properties" xmlns:ns2="90a28909-8281-48e9-b3f3-b7539e389228" xmlns:ns3="4fa56ee4-34db-4f94-8b00-1783170fd606" targetNamespace="http://schemas.microsoft.com/office/2006/metadata/properties" ma:root="true" ma:fieldsID="b641b85dab45fadc238b649bd5e89f82" ns2:_="" ns3:_="">
    <xsd:import namespace="90a28909-8281-48e9-b3f3-b7539e389228"/>
    <xsd:import namespace="4fa56ee4-34db-4f94-8b00-1783170fd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28909-8281-48e9-b3f3-b7539e389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4541e1-053a-4de7-84bc-438672152f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56ee4-34db-4f94-8b00-1783170fd6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2152c49-b41c-4ed4-b62a-2ebccb6086b9}" ma:internalName="TaxCatchAll" ma:showField="CatchAllData" ma:web="4fa56ee4-34db-4f94-8b00-1783170fd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C732D8-DB3A-4E99-B935-701AE47A4231}">
  <ds:schemaRefs>
    <ds:schemaRef ds:uri="http://schemas.microsoft.com/sharepoint/v3/contenttype/forms"/>
  </ds:schemaRefs>
</ds:datastoreItem>
</file>

<file path=customXml/itemProps2.xml><?xml version="1.0" encoding="utf-8"?>
<ds:datastoreItem xmlns:ds="http://schemas.openxmlformats.org/officeDocument/2006/customXml" ds:itemID="{DCD18DE9-D2E7-4FD2-A98A-25C556AE18BA}">
  <ds:schemaRefs>
    <ds:schemaRef ds:uri="http://schemas.openxmlformats.org/officeDocument/2006/bibliography"/>
  </ds:schemaRefs>
</ds:datastoreItem>
</file>

<file path=customXml/itemProps3.xml><?xml version="1.0" encoding="utf-8"?>
<ds:datastoreItem xmlns:ds="http://schemas.openxmlformats.org/officeDocument/2006/customXml" ds:itemID="{0FF6EED2-0463-40E0-AB2D-0B6F6E98BA53}">
  <ds:schemaRefs>
    <ds:schemaRef ds:uri="http://schemas.microsoft.com/office/2006/metadata/properties"/>
    <ds:schemaRef ds:uri="http://schemas.microsoft.com/office/infopath/2007/PartnerControls"/>
    <ds:schemaRef ds:uri="4fa56ee4-34db-4f94-8b00-1783170fd606"/>
    <ds:schemaRef ds:uri="90a28909-8281-48e9-b3f3-b7539e389228"/>
  </ds:schemaRefs>
</ds:datastoreItem>
</file>

<file path=customXml/itemProps4.xml><?xml version="1.0" encoding="utf-8"?>
<ds:datastoreItem xmlns:ds="http://schemas.openxmlformats.org/officeDocument/2006/customXml" ds:itemID="{74381AF9-C9D7-47FB-8860-5C8779C37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28909-8281-48e9-b3f3-b7539e389228"/>
    <ds:schemaRef ds:uri="4fa56ee4-34db-4f94-8b00-1783170fd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1642</Words>
  <Characters>8054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 Hussin</dc:creator>
  <cp:lastModifiedBy>Abd Hussin</cp:lastModifiedBy>
  <cp:revision>20</cp:revision>
  <cp:lastPrinted>2024-01-09T05:20:00Z</cp:lastPrinted>
  <dcterms:created xsi:type="dcterms:W3CDTF">2024-01-10T06:45:00Z</dcterms:created>
  <dcterms:modified xsi:type="dcterms:W3CDTF">2024-01-10T07:23:00Z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0x010100B33E1A39DA36A140ADA2E60A4FE37591</vt:lpwstr>
  </property>
  <property fmtid="{D5CDD505-2E9C-101B-9397-08002B2CF9AE}" pid="3" name="Order">
    <vt:r8>2728800</vt:r8>
  </property>
  <property fmtid="{D5CDD505-2E9C-101B-9397-08002B2CF9AE}" pid="4" name="MediaServiceImageTags">
    <vt:lpwstr/>
  </property>
  <property fmtid="{D5CDD505-2E9C-101B-9397-08002B2CF9AE}" pid="5" name="GrammarlyDocumentId">
    <vt:lpwstr>001a2b668eae746f1bfd1fd8b6c912ea78c7a8404f555718ce45f1450a684297</vt:lpwstr>
  </property>
</Properties>
</file>