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Borders>
          <w:top w:val="single" w:sz="6" w:space="0" w:color="42953A"/>
          <w:left w:val="single" w:sz="6" w:space="0" w:color="42953A"/>
          <w:bottom w:val="single" w:sz="6" w:space="0" w:color="42953A"/>
          <w:right w:val="single" w:sz="6" w:space="0" w:color="42953A"/>
        </w:tblBorders>
        <w:tblCellMar>
          <w:left w:w="0" w:type="dxa"/>
          <w:right w:w="0" w:type="dxa"/>
        </w:tblCellMar>
        <w:tblLook w:val="04A0" w:firstRow="1" w:lastRow="0" w:firstColumn="1" w:lastColumn="0" w:noHBand="0" w:noVBand="1"/>
      </w:tblPr>
      <w:tblGrid>
        <w:gridCol w:w="9010"/>
      </w:tblGrid>
      <w:tr w:rsidR="00300C68" w:rsidTr="00300C68">
        <w:trPr>
          <w:jc w:val="center"/>
        </w:trPr>
        <w:tc>
          <w:tcPr>
            <w:tcW w:w="0" w:type="auto"/>
            <w:tcBorders>
              <w:top w:val="single" w:sz="6" w:space="0" w:color="42953A"/>
              <w:left w:val="single" w:sz="6" w:space="0" w:color="42953A"/>
              <w:bottom w:val="nil"/>
              <w:right w:val="single" w:sz="6" w:space="0" w:color="42953A"/>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6300"/>
              <w:gridCol w:w="2700"/>
            </w:tblGrid>
            <w:tr w:rsidR="00300C68">
              <w:trPr>
                <w:jc w:val="center"/>
              </w:trPr>
              <w:tc>
                <w:tcPr>
                  <w:tcW w:w="0" w:type="auto"/>
                  <w:shd w:val="clear" w:color="auto" w:fill="FFFFFF"/>
                  <w:tcMar>
                    <w:top w:w="150" w:type="dxa"/>
                    <w:left w:w="270" w:type="dxa"/>
                    <w:bottom w:w="150" w:type="dxa"/>
                    <w:right w:w="270" w:type="dxa"/>
                  </w:tcMar>
                  <w:hideMark/>
                </w:tcPr>
                <w:p w:rsidR="00300C68" w:rsidRDefault="00300C68">
                  <w:pPr>
                    <w:spacing w:line="360" w:lineRule="auto"/>
                    <w:rPr>
                      <w:rFonts w:ascii="Helvetica" w:hAnsi="Helvetica" w:cs="Helvetica"/>
                      <w:color w:val="000000"/>
                      <w:sz w:val="15"/>
                      <w:szCs w:val="15"/>
                      <w:lang w:eastAsia="en-US"/>
                    </w:rPr>
                  </w:pPr>
                  <w:r>
                    <w:rPr>
                      <w:rFonts w:ascii="Helvetica" w:hAnsi="Helvetica" w:cs="Helvetica"/>
                      <w:color w:val="000000"/>
                      <w:sz w:val="15"/>
                      <w:szCs w:val="15"/>
                      <w:lang w:eastAsia="en-US"/>
                    </w:rPr>
                    <w:t>New report on Maximising Social Value in Place</w:t>
                  </w:r>
                </w:p>
              </w:tc>
              <w:tc>
                <w:tcPr>
                  <w:tcW w:w="2700" w:type="dxa"/>
                  <w:shd w:val="clear" w:color="auto" w:fill="FFFFFF"/>
                  <w:tcMar>
                    <w:top w:w="150" w:type="dxa"/>
                    <w:left w:w="0" w:type="dxa"/>
                    <w:bottom w:w="150" w:type="dxa"/>
                    <w:right w:w="270" w:type="dxa"/>
                  </w:tcMar>
                  <w:hideMark/>
                </w:tcPr>
                <w:p w:rsidR="00300C68" w:rsidRDefault="00300C68">
                  <w:pPr>
                    <w:spacing w:line="360" w:lineRule="auto"/>
                    <w:rPr>
                      <w:rFonts w:ascii="Helvetica" w:hAnsi="Helvetica" w:cs="Helvetica"/>
                      <w:color w:val="000000"/>
                      <w:sz w:val="15"/>
                      <w:szCs w:val="15"/>
                      <w:lang w:eastAsia="en-US"/>
                    </w:rPr>
                  </w:pPr>
                  <w:hyperlink r:id="rId4" w:tgtFrame="_blank" w:history="1">
                    <w:r>
                      <w:rPr>
                        <w:rStyle w:val="Hyperlink"/>
                        <w:rFonts w:ascii="Helvetica" w:hAnsi="Helvetica" w:cs="Helvetica"/>
                        <w:color w:val="000000"/>
                        <w:sz w:val="17"/>
                        <w:szCs w:val="17"/>
                        <w:lang w:eastAsia="en-US"/>
                      </w:rPr>
                      <w:t>View this email in your browser</w:t>
                    </w:r>
                  </w:hyperlink>
                </w:p>
              </w:tc>
            </w:tr>
          </w:tbl>
          <w:p w:rsidR="00300C68" w:rsidRDefault="00300C68">
            <w:pPr>
              <w:jc w:val="center"/>
              <w:rPr>
                <w:rFonts w:asciiTheme="minorHAnsi" w:hAnsiTheme="minorHAnsi" w:cstheme="minorBidi"/>
                <w:lang w:eastAsia="en-US"/>
              </w:rPr>
            </w:pPr>
          </w:p>
        </w:tc>
      </w:tr>
      <w:tr w:rsidR="00300C68" w:rsidTr="00300C68">
        <w:trPr>
          <w:jc w:val="center"/>
        </w:trPr>
        <w:tc>
          <w:tcPr>
            <w:tcW w:w="0" w:type="auto"/>
            <w:tcBorders>
              <w:top w:val="nil"/>
              <w:left w:val="single" w:sz="6" w:space="0" w:color="42953A"/>
              <w:bottom w:val="single" w:sz="6" w:space="0" w:color="42953A"/>
              <w:right w:val="single" w:sz="6" w:space="0" w:color="42953A"/>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995"/>
            </w:tblGrid>
            <w:tr w:rsidR="00300C68">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8995"/>
                  </w:tblGrid>
                  <w:tr w:rsidR="00300C6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5"/>
                        </w:tblGrid>
                        <w:tr w:rsidR="00300C68">
                          <w:tc>
                            <w:tcPr>
                              <w:tcW w:w="0" w:type="auto"/>
                              <w:tcMar>
                                <w:top w:w="0" w:type="dxa"/>
                                <w:left w:w="135" w:type="dxa"/>
                                <w:bottom w:w="0" w:type="dxa"/>
                                <w:right w:w="135" w:type="dxa"/>
                              </w:tcMar>
                              <w:hideMark/>
                            </w:tcPr>
                            <w:p w:rsidR="00300C68" w:rsidRDefault="00300C68">
                              <w:pPr>
                                <w:jc w:val="center"/>
                                <w:rPr>
                                  <w:rFonts w:asciiTheme="minorHAnsi" w:hAnsiTheme="minorHAnsi" w:cstheme="minorBidi"/>
                                  <w:sz w:val="20"/>
                                  <w:szCs w:val="20"/>
                                  <w:lang w:eastAsia="en-US"/>
                                </w:rPr>
                              </w:pPr>
                              <w:r>
                                <w:rPr>
                                  <w:rFonts w:asciiTheme="minorHAnsi" w:hAnsiTheme="minorHAnsi" w:cstheme="minorBidi"/>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00C68" w:rsidRDefault="00300C68">
                        <w:pPr>
                          <w:rPr>
                            <w:rFonts w:asciiTheme="minorHAnsi" w:hAnsiTheme="minorHAnsi" w:cstheme="minorBidi"/>
                            <w:lang w:eastAsia="en-US"/>
                          </w:rPr>
                        </w:pPr>
                      </w:p>
                    </w:tc>
                  </w:tr>
                </w:tbl>
                <w:p w:rsidR="00300C68" w:rsidRDefault="00300C68">
                  <w:pPr>
                    <w:rPr>
                      <w:vanish/>
                      <w:lang w:eastAsia="en-US"/>
                    </w:rPr>
                  </w:pPr>
                </w:p>
                <w:tbl>
                  <w:tblPr>
                    <w:tblW w:w="5000" w:type="pct"/>
                    <w:tblCellMar>
                      <w:left w:w="0" w:type="dxa"/>
                      <w:right w:w="0" w:type="dxa"/>
                    </w:tblCellMar>
                    <w:tblLook w:val="04A0" w:firstRow="1" w:lastRow="0" w:firstColumn="1" w:lastColumn="0" w:noHBand="0" w:noVBand="1"/>
                  </w:tblPr>
                  <w:tblGrid>
                    <w:gridCol w:w="8995"/>
                  </w:tblGrid>
                  <w:tr w:rsidR="00300C68">
                    <w:trPr>
                      <w:hidden/>
                    </w:trPr>
                    <w:tc>
                      <w:tcPr>
                        <w:tcW w:w="0" w:type="auto"/>
                        <w:tcMar>
                          <w:top w:w="0" w:type="dxa"/>
                          <w:left w:w="270" w:type="dxa"/>
                          <w:bottom w:w="0" w:type="dxa"/>
                          <w:right w:w="270" w:type="dxa"/>
                        </w:tcMar>
                        <w:vAlign w:val="center"/>
                        <w:hideMark/>
                      </w:tcPr>
                      <w:tbl>
                        <w:tblPr>
                          <w:tblW w:w="5000" w:type="pct"/>
                          <w:tblBorders>
                            <w:top w:val="single" w:sz="6" w:space="0" w:color="452469"/>
                          </w:tblBorders>
                          <w:tblCellMar>
                            <w:left w:w="0" w:type="dxa"/>
                            <w:right w:w="0" w:type="dxa"/>
                          </w:tblCellMar>
                          <w:tblLook w:val="04A0" w:firstRow="1" w:lastRow="0" w:firstColumn="1" w:lastColumn="0" w:noHBand="0" w:noVBand="1"/>
                        </w:tblPr>
                        <w:tblGrid>
                          <w:gridCol w:w="8455"/>
                        </w:tblGrid>
                        <w:tr w:rsidR="00300C68">
                          <w:trPr>
                            <w:hidden/>
                          </w:trPr>
                          <w:tc>
                            <w:tcPr>
                              <w:tcW w:w="0" w:type="auto"/>
                              <w:tcBorders>
                                <w:top w:val="single" w:sz="6" w:space="0" w:color="452469"/>
                                <w:left w:val="nil"/>
                                <w:bottom w:val="nil"/>
                                <w:right w:val="nil"/>
                              </w:tcBorders>
                              <w:vAlign w:val="center"/>
                              <w:hideMark/>
                            </w:tcPr>
                            <w:p w:rsidR="00300C68" w:rsidRDefault="00300C68">
                              <w:pPr>
                                <w:rPr>
                                  <w:vanish/>
                                  <w:lang w:eastAsia="en-US"/>
                                </w:rPr>
                              </w:pPr>
                            </w:p>
                          </w:tc>
                        </w:tr>
                      </w:tbl>
                      <w:p w:rsidR="00300C68" w:rsidRDefault="00300C68">
                        <w:pPr>
                          <w:rPr>
                            <w:rFonts w:asciiTheme="minorHAnsi" w:hAnsiTheme="minorHAnsi" w:cstheme="minorBidi"/>
                            <w:lang w:eastAsia="en-US"/>
                          </w:rPr>
                        </w:pPr>
                      </w:p>
                    </w:tc>
                  </w:tr>
                </w:tbl>
                <w:p w:rsidR="00300C68" w:rsidRDefault="00300C68">
                  <w:pPr>
                    <w:rPr>
                      <w:vanish/>
                      <w:lang w:eastAsia="en-US"/>
                    </w:rPr>
                  </w:pPr>
                </w:p>
                <w:tbl>
                  <w:tblPr>
                    <w:tblW w:w="5000" w:type="pct"/>
                    <w:tblCellMar>
                      <w:left w:w="0" w:type="dxa"/>
                      <w:right w:w="0" w:type="dxa"/>
                    </w:tblCellMar>
                    <w:tblLook w:val="04A0" w:firstRow="1" w:lastRow="0" w:firstColumn="1" w:lastColumn="0" w:noHBand="0" w:noVBand="1"/>
                  </w:tblPr>
                  <w:tblGrid>
                    <w:gridCol w:w="8995"/>
                  </w:tblGrid>
                  <w:tr w:rsidR="00300C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5"/>
                        </w:tblGrid>
                        <w:tr w:rsidR="00300C68">
                          <w:tc>
                            <w:tcPr>
                              <w:tcW w:w="0" w:type="auto"/>
                              <w:tcMar>
                                <w:top w:w="0" w:type="dxa"/>
                                <w:left w:w="270" w:type="dxa"/>
                                <w:bottom w:w="135" w:type="dxa"/>
                                <w:right w:w="270" w:type="dxa"/>
                              </w:tcMar>
                              <w:hideMark/>
                            </w:tcPr>
                            <w:p w:rsidR="00300C68" w:rsidRDefault="00300C68">
                              <w:pPr>
                                <w:pStyle w:val="Heading2"/>
                                <w:spacing w:before="0" w:beforeAutospacing="0" w:after="0" w:afterAutospacing="0"/>
                                <w:rPr>
                                  <w:rFonts w:ascii="Helvetica" w:eastAsiaTheme="minorHAnsi" w:hAnsi="Helvetica" w:cs="Helvetica"/>
                                  <w:color w:val="000000"/>
                                  <w:sz w:val="30"/>
                                  <w:szCs w:val="30"/>
                                  <w:lang w:eastAsia="en-US"/>
                                </w:rPr>
                              </w:pPr>
                              <w:r>
                                <w:rPr>
                                  <w:rFonts w:ascii="Helvetica" w:eastAsiaTheme="minorHAnsi" w:hAnsi="Helvetica" w:cs="Helvetica"/>
                                  <w:color w:val="336600"/>
                                  <w:sz w:val="30"/>
                                  <w:szCs w:val="30"/>
                                  <w:lang w:eastAsia="en-US"/>
                                </w:rPr>
                                <w:t>New report by Localis</w:t>
                              </w:r>
                            </w:p>
                          </w:tc>
                        </w:tr>
                      </w:tbl>
                      <w:p w:rsidR="00300C68" w:rsidRDefault="00300C68">
                        <w:pPr>
                          <w:rPr>
                            <w:rFonts w:asciiTheme="minorHAnsi" w:hAnsiTheme="minorHAnsi" w:cstheme="minorBidi"/>
                            <w:lang w:eastAsia="en-US"/>
                          </w:rPr>
                        </w:pPr>
                      </w:p>
                    </w:tc>
                  </w:tr>
                </w:tbl>
                <w:p w:rsidR="00300C68" w:rsidRDefault="00300C68">
                  <w:pPr>
                    <w:rPr>
                      <w:vanish/>
                      <w:lang w:eastAsia="en-US"/>
                    </w:rPr>
                  </w:pPr>
                </w:p>
                <w:tbl>
                  <w:tblPr>
                    <w:tblW w:w="5000" w:type="pct"/>
                    <w:tblCellMar>
                      <w:left w:w="0" w:type="dxa"/>
                      <w:right w:w="0" w:type="dxa"/>
                    </w:tblCellMar>
                    <w:tblLook w:val="04A0" w:firstRow="1" w:lastRow="0" w:firstColumn="1" w:lastColumn="0" w:noHBand="0" w:noVBand="1"/>
                  </w:tblPr>
                  <w:tblGrid>
                    <w:gridCol w:w="8995"/>
                  </w:tblGrid>
                  <w:tr w:rsidR="00300C6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5"/>
                        </w:tblGrid>
                        <w:tr w:rsidR="00300C68">
                          <w:tc>
                            <w:tcPr>
                              <w:tcW w:w="0" w:type="auto"/>
                              <w:tcMar>
                                <w:top w:w="0" w:type="dxa"/>
                                <w:left w:w="135" w:type="dxa"/>
                                <w:bottom w:w="0" w:type="dxa"/>
                                <w:right w:w="135" w:type="dxa"/>
                              </w:tcMar>
                              <w:hideMark/>
                            </w:tcPr>
                            <w:p w:rsidR="00300C68" w:rsidRDefault="00300C68">
                              <w:pPr>
                                <w:jc w:val="center"/>
                                <w:rPr>
                                  <w:lang w:eastAsia="en-US"/>
                                </w:rPr>
                              </w:pPr>
                              <w:r>
                                <w:rPr>
                                  <w:noProof/>
                                  <w:lang w:eastAsia="en-US"/>
                                </w:rPr>
                                <w:drawing>
                                  <wp:inline distT="0" distB="0" distL="0" distR="0">
                                    <wp:extent cx="5372100" cy="2293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293620"/>
                                            </a:xfrm>
                                            <a:prstGeom prst="rect">
                                              <a:avLst/>
                                            </a:prstGeom>
                                            <a:noFill/>
                                            <a:ln>
                                              <a:noFill/>
                                            </a:ln>
                                          </pic:spPr>
                                        </pic:pic>
                                      </a:graphicData>
                                    </a:graphic>
                                  </wp:inline>
                                </w:drawing>
                              </w:r>
                            </w:p>
                          </w:tc>
                        </w:tr>
                      </w:tbl>
                      <w:p w:rsidR="00300C68" w:rsidRDefault="00300C68">
                        <w:pPr>
                          <w:rPr>
                            <w:rFonts w:asciiTheme="minorHAnsi" w:hAnsiTheme="minorHAnsi" w:cstheme="minorBidi"/>
                            <w:lang w:eastAsia="en-US"/>
                          </w:rPr>
                        </w:pPr>
                      </w:p>
                    </w:tc>
                  </w:tr>
                </w:tbl>
                <w:p w:rsidR="00300C68" w:rsidRDefault="00300C68">
                  <w:pPr>
                    <w:rPr>
                      <w:vanish/>
                      <w:lang w:eastAsia="en-US"/>
                    </w:rPr>
                  </w:pPr>
                </w:p>
                <w:tbl>
                  <w:tblPr>
                    <w:tblW w:w="5000" w:type="pct"/>
                    <w:tblCellMar>
                      <w:left w:w="0" w:type="dxa"/>
                      <w:right w:w="0" w:type="dxa"/>
                    </w:tblCellMar>
                    <w:tblLook w:val="04A0" w:firstRow="1" w:lastRow="0" w:firstColumn="1" w:lastColumn="0" w:noHBand="0" w:noVBand="1"/>
                  </w:tblPr>
                  <w:tblGrid>
                    <w:gridCol w:w="8995"/>
                  </w:tblGrid>
                  <w:tr w:rsidR="00300C68">
                    <w:tc>
                      <w:tcPr>
                        <w:tcW w:w="0" w:type="auto"/>
                        <w:tcMar>
                          <w:top w:w="0" w:type="dxa"/>
                          <w:left w:w="270" w:type="dxa"/>
                          <w:bottom w:w="270" w:type="dxa"/>
                          <w:right w:w="270" w:type="dxa"/>
                        </w:tcMar>
                        <w:hideMark/>
                      </w:tcPr>
                      <w:tbl>
                        <w:tblPr>
                          <w:tblW w:w="0" w:type="auto"/>
                          <w:jc w:val="center"/>
                          <w:shd w:val="clear" w:color="auto" w:fill="46166B"/>
                          <w:tblCellMar>
                            <w:left w:w="0" w:type="dxa"/>
                            <w:right w:w="0" w:type="dxa"/>
                          </w:tblCellMar>
                          <w:tblLook w:val="04A0" w:firstRow="1" w:lastRow="0" w:firstColumn="1" w:lastColumn="0" w:noHBand="0" w:noVBand="1"/>
                        </w:tblPr>
                        <w:tblGrid>
                          <w:gridCol w:w="2944"/>
                        </w:tblGrid>
                        <w:tr w:rsidR="00300C68">
                          <w:trPr>
                            <w:jc w:val="center"/>
                          </w:trPr>
                          <w:tc>
                            <w:tcPr>
                              <w:tcW w:w="0" w:type="auto"/>
                              <w:shd w:val="clear" w:color="auto" w:fill="46166B"/>
                              <w:tcMar>
                                <w:top w:w="225" w:type="dxa"/>
                                <w:left w:w="225" w:type="dxa"/>
                                <w:bottom w:w="225" w:type="dxa"/>
                                <w:right w:w="225" w:type="dxa"/>
                              </w:tcMar>
                              <w:vAlign w:val="center"/>
                              <w:hideMark/>
                            </w:tcPr>
                            <w:p w:rsidR="00300C68" w:rsidRDefault="00300C68">
                              <w:pPr>
                                <w:jc w:val="center"/>
                                <w:rPr>
                                  <w:rFonts w:ascii="Arial" w:hAnsi="Arial" w:cs="Arial"/>
                                  <w:sz w:val="24"/>
                                  <w:szCs w:val="24"/>
                                  <w:lang w:eastAsia="en-US"/>
                                </w:rPr>
                              </w:pPr>
                              <w:hyperlink r:id="rId7" w:tgtFrame="_blank" w:tooltip="Download publication" w:history="1">
                                <w:r>
                                  <w:rPr>
                                    <w:rStyle w:val="Hyperlink"/>
                                    <w:rFonts w:ascii="Arial" w:hAnsi="Arial" w:cs="Arial"/>
                                    <w:b/>
                                    <w:bCs/>
                                    <w:color w:val="FFFFFF"/>
                                    <w:sz w:val="24"/>
                                    <w:szCs w:val="24"/>
                                    <w:lang w:eastAsia="en-US"/>
                                  </w:rPr>
                                  <w:t>Download publication</w:t>
                                </w:r>
                              </w:hyperlink>
                              <w:r>
                                <w:rPr>
                                  <w:rFonts w:ascii="Arial" w:hAnsi="Arial" w:cs="Arial"/>
                                  <w:sz w:val="24"/>
                                  <w:szCs w:val="24"/>
                                  <w:lang w:eastAsia="en-US"/>
                                </w:rPr>
                                <w:t xml:space="preserve"> </w:t>
                              </w:r>
                            </w:p>
                          </w:tc>
                        </w:tr>
                      </w:tbl>
                      <w:p w:rsidR="00300C68" w:rsidRDefault="00300C68">
                        <w:pPr>
                          <w:jc w:val="center"/>
                          <w:rPr>
                            <w:rFonts w:asciiTheme="minorHAnsi" w:hAnsiTheme="minorHAnsi" w:cstheme="minorBidi"/>
                            <w:lang w:eastAsia="en-US"/>
                          </w:rPr>
                        </w:pPr>
                      </w:p>
                    </w:tc>
                  </w:tr>
                </w:tbl>
                <w:p w:rsidR="00300C68" w:rsidRDefault="00300C68">
                  <w:pPr>
                    <w:rPr>
                      <w:vanish/>
                      <w:lang w:eastAsia="en-US"/>
                    </w:rPr>
                  </w:pPr>
                </w:p>
                <w:tbl>
                  <w:tblPr>
                    <w:tblW w:w="5000" w:type="pct"/>
                    <w:tblCellMar>
                      <w:left w:w="0" w:type="dxa"/>
                      <w:right w:w="0" w:type="dxa"/>
                    </w:tblCellMar>
                    <w:tblLook w:val="04A0" w:firstRow="1" w:lastRow="0" w:firstColumn="1" w:lastColumn="0" w:noHBand="0" w:noVBand="1"/>
                  </w:tblPr>
                  <w:tblGrid>
                    <w:gridCol w:w="8995"/>
                  </w:tblGrid>
                  <w:tr w:rsidR="00300C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5"/>
                        </w:tblGrid>
                        <w:tr w:rsidR="00300C68">
                          <w:tc>
                            <w:tcPr>
                              <w:tcW w:w="0" w:type="auto"/>
                              <w:tcMar>
                                <w:top w:w="0" w:type="dxa"/>
                                <w:left w:w="270" w:type="dxa"/>
                                <w:bottom w:w="135" w:type="dxa"/>
                                <w:right w:w="270" w:type="dxa"/>
                              </w:tcMar>
                              <w:hideMark/>
                            </w:tcPr>
                            <w:p w:rsidR="00300C68" w:rsidRDefault="00300C68">
                              <w:pPr>
                                <w:pStyle w:val="NormalWeb"/>
                                <w:spacing w:line="360" w:lineRule="auto"/>
                                <w:rPr>
                                  <w:rFonts w:ascii="Helvetica" w:hAnsi="Helvetica" w:cs="Helvetica"/>
                                  <w:color w:val="000000"/>
                                  <w:sz w:val="21"/>
                                  <w:szCs w:val="21"/>
                                  <w:lang w:eastAsia="en-US"/>
                                </w:rPr>
                              </w:pPr>
                              <w:r>
                                <w:rPr>
                                  <w:rFonts w:ascii="Helvetica" w:hAnsi="Helvetica" w:cs="Helvetica"/>
                                  <w:color w:val="000000"/>
                                  <w:sz w:val="21"/>
                                  <w:szCs w:val="21"/>
                                  <w:lang w:eastAsia="en-US"/>
                                </w:rPr>
                                <w:t>The Public Services (Social Value) Act 2012 was first presented to Parliament a decade ago, enshrining in law the duty of public sector commissioning to pay regard to economic, social and environmental wellbeing when making procurement decisions. In this time, the incorporation of a social value element into the assessment of public sector contracts has transitioned from a campaigning concern to a statutory requirement and finally to a universally recognised consideration in public sector commercialism.</w:t>
                              </w:r>
                              <w:r>
                                <w:rPr>
                                  <w:rFonts w:ascii="Helvetica" w:hAnsi="Helvetica" w:cs="Helvetica"/>
                                  <w:color w:val="000000"/>
                                  <w:sz w:val="21"/>
                                  <w:szCs w:val="21"/>
                                  <w:lang w:eastAsia="en-US"/>
                                </w:rPr>
                                <w:br/>
                                <w:t> </w:t>
                              </w:r>
                              <w:r>
                                <w:rPr>
                                  <w:rFonts w:ascii="Helvetica" w:hAnsi="Helvetica" w:cs="Helvetica"/>
                                  <w:color w:val="000000"/>
                                  <w:sz w:val="21"/>
                                  <w:szCs w:val="21"/>
                                  <w:lang w:eastAsia="en-US"/>
                                </w:rPr>
                                <w:br/>
                                <w:t>With ubiquity, however, there is always the risk of complacency.</w:t>
                              </w:r>
                              <w:r>
                                <w:rPr>
                                  <w:rStyle w:val="Strong"/>
                                  <w:rFonts w:ascii="Helvetica" w:hAnsi="Helvetica"/>
                                  <w:color w:val="000000"/>
                                  <w:sz w:val="21"/>
                                  <w:szCs w:val="21"/>
                                  <w:lang w:eastAsia="en-US"/>
                                </w:rPr>
                                <w:t xml:space="preserve"> Brighten All Corners </w:t>
                              </w:r>
                              <w:r>
                                <w:rPr>
                                  <w:rFonts w:ascii="Helvetica" w:hAnsi="Helvetica" w:cs="Helvetica"/>
                                  <w:color w:val="000000"/>
                                  <w:sz w:val="21"/>
                                  <w:szCs w:val="21"/>
                                  <w:lang w:eastAsia="en-US"/>
                                </w:rPr>
                                <w:t xml:space="preserve">is a timely examination of local implementation of the Act with recommendations for a deeper, more meaningful role for social value led procurement in raising local prosperity. Through a series of interviews, roundtable discussions and open survey exercises, the report highlights several issues with the Social Value Act in practice. The crux of these issues is a need for a degree of standardisation, carefully combined with a built-in consideration of local context. We propose a new model of </w:t>
                              </w:r>
                              <w:r>
                                <w:rPr>
                                  <w:rStyle w:val="Strong"/>
                                  <w:rFonts w:ascii="Helvetica" w:hAnsi="Helvetica"/>
                                  <w:color w:val="000000"/>
                                  <w:sz w:val="21"/>
                                  <w:szCs w:val="21"/>
                                  <w:lang w:eastAsia="en-US"/>
                                </w:rPr>
                                <w:t>Community Value Charters</w:t>
                              </w:r>
                              <w:r>
                                <w:rPr>
                                  <w:rFonts w:ascii="Helvetica" w:hAnsi="Helvetica" w:cs="Helvetica"/>
                                  <w:color w:val="000000"/>
                                  <w:sz w:val="21"/>
                                  <w:szCs w:val="21"/>
                                  <w:lang w:eastAsia="en-US"/>
                                </w:rPr>
                                <w:t xml:space="preserve"> to meet these challenges.</w:t>
                              </w:r>
                              <w:r>
                                <w:rPr>
                                  <w:rFonts w:ascii="Helvetica" w:hAnsi="Helvetica" w:cs="Helvetica"/>
                                  <w:color w:val="000000"/>
                                  <w:sz w:val="21"/>
                                  <w:szCs w:val="21"/>
                                  <w:lang w:eastAsia="en-US"/>
                                </w:rPr>
                                <w:br/>
                              </w:r>
                              <w:r>
                                <w:rPr>
                                  <w:rFonts w:ascii="Helvetica" w:hAnsi="Helvetica" w:cs="Helvetica"/>
                                  <w:color w:val="000000"/>
                                  <w:sz w:val="21"/>
                                  <w:szCs w:val="21"/>
                                  <w:lang w:eastAsia="en-US"/>
                                </w:rPr>
                                <w:lastRenderedPageBreak/>
                                <w:br/>
                              </w:r>
                              <w:r>
                                <w:rPr>
                                  <w:rFonts w:ascii="Helvetica" w:hAnsi="Helvetica" w:cs="Helvetica"/>
                                  <w:noProof/>
                                  <w:color w:val="000000"/>
                                  <w:sz w:val="21"/>
                                  <w:szCs w:val="21"/>
                                  <w:lang w:eastAsia="en-US"/>
                                </w:rPr>
                                <w:drawing>
                                  <wp:inline distT="0" distB="0" distL="0" distR="0">
                                    <wp:extent cx="5731510" cy="81070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107045"/>
                                            </a:xfrm>
                                            <a:prstGeom prst="rect">
                                              <a:avLst/>
                                            </a:prstGeom>
                                            <a:noFill/>
                                            <a:ln>
                                              <a:noFill/>
                                            </a:ln>
                                          </pic:spPr>
                                        </pic:pic>
                                      </a:graphicData>
                                    </a:graphic>
                                  </wp:inline>
                                </w:drawing>
                              </w:r>
                            </w:p>
                          </w:tc>
                        </w:tr>
                      </w:tbl>
                      <w:p w:rsidR="00300C68" w:rsidRDefault="00300C68">
                        <w:pPr>
                          <w:rPr>
                            <w:rFonts w:asciiTheme="minorHAnsi" w:hAnsiTheme="minorHAnsi" w:cstheme="minorBidi"/>
                            <w:lang w:eastAsia="en-US"/>
                          </w:rPr>
                        </w:pPr>
                      </w:p>
                    </w:tc>
                  </w:tr>
                </w:tbl>
                <w:p w:rsidR="00300C68" w:rsidRDefault="00300C68">
                  <w:pPr>
                    <w:rPr>
                      <w:vanish/>
                      <w:lang w:eastAsia="en-US"/>
                    </w:rPr>
                  </w:pPr>
                </w:p>
                <w:tbl>
                  <w:tblPr>
                    <w:tblW w:w="5000" w:type="pct"/>
                    <w:tblCellMar>
                      <w:left w:w="0" w:type="dxa"/>
                      <w:right w:w="0" w:type="dxa"/>
                    </w:tblCellMar>
                    <w:tblLook w:val="04A0" w:firstRow="1" w:lastRow="0" w:firstColumn="1" w:lastColumn="0" w:noHBand="0" w:noVBand="1"/>
                  </w:tblPr>
                  <w:tblGrid>
                    <w:gridCol w:w="8995"/>
                  </w:tblGrid>
                  <w:tr w:rsidR="00300C68">
                    <w:trPr>
                      <w:hidden/>
                    </w:trPr>
                    <w:tc>
                      <w:tcPr>
                        <w:tcW w:w="0" w:type="auto"/>
                        <w:tcMar>
                          <w:top w:w="0" w:type="dxa"/>
                          <w:left w:w="270" w:type="dxa"/>
                          <w:bottom w:w="0" w:type="dxa"/>
                          <w:right w:w="270" w:type="dxa"/>
                        </w:tcMar>
                        <w:vAlign w:val="center"/>
                        <w:hideMark/>
                      </w:tcPr>
                      <w:tbl>
                        <w:tblPr>
                          <w:tblW w:w="5000" w:type="pct"/>
                          <w:tblBorders>
                            <w:top w:val="single" w:sz="6" w:space="0" w:color="452469"/>
                          </w:tblBorders>
                          <w:tblCellMar>
                            <w:left w:w="0" w:type="dxa"/>
                            <w:right w:w="0" w:type="dxa"/>
                          </w:tblCellMar>
                          <w:tblLook w:val="04A0" w:firstRow="1" w:lastRow="0" w:firstColumn="1" w:lastColumn="0" w:noHBand="0" w:noVBand="1"/>
                        </w:tblPr>
                        <w:tblGrid>
                          <w:gridCol w:w="8455"/>
                        </w:tblGrid>
                        <w:tr w:rsidR="00300C68">
                          <w:trPr>
                            <w:hidden/>
                          </w:trPr>
                          <w:tc>
                            <w:tcPr>
                              <w:tcW w:w="0" w:type="auto"/>
                              <w:tcBorders>
                                <w:top w:val="single" w:sz="6" w:space="0" w:color="452469"/>
                                <w:left w:val="nil"/>
                                <w:bottom w:val="nil"/>
                                <w:right w:val="nil"/>
                              </w:tcBorders>
                              <w:vAlign w:val="center"/>
                              <w:hideMark/>
                            </w:tcPr>
                            <w:p w:rsidR="00300C68" w:rsidRDefault="00300C68">
                              <w:pPr>
                                <w:rPr>
                                  <w:vanish/>
                                  <w:lang w:eastAsia="en-US"/>
                                </w:rPr>
                              </w:pPr>
                            </w:p>
                          </w:tc>
                        </w:tr>
                      </w:tbl>
                      <w:p w:rsidR="00300C68" w:rsidRDefault="00300C68">
                        <w:pPr>
                          <w:rPr>
                            <w:rFonts w:asciiTheme="minorHAnsi" w:hAnsiTheme="minorHAnsi" w:cstheme="minorBidi"/>
                            <w:lang w:eastAsia="en-US"/>
                          </w:rPr>
                        </w:pPr>
                      </w:p>
                    </w:tc>
                  </w:tr>
                </w:tbl>
                <w:p w:rsidR="00300C68" w:rsidRDefault="00300C68">
                  <w:pPr>
                    <w:rPr>
                      <w:vanish/>
                      <w:lang w:eastAsia="en-US"/>
                    </w:rPr>
                  </w:pPr>
                </w:p>
                <w:tbl>
                  <w:tblPr>
                    <w:tblW w:w="5000" w:type="pct"/>
                    <w:tblCellMar>
                      <w:left w:w="0" w:type="dxa"/>
                      <w:right w:w="0" w:type="dxa"/>
                    </w:tblCellMar>
                    <w:tblLook w:val="04A0" w:firstRow="1" w:lastRow="0" w:firstColumn="1" w:lastColumn="0" w:noHBand="0" w:noVBand="1"/>
                  </w:tblPr>
                  <w:tblGrid>
                    <w:gridCol w:w="8995"/>
                  </w:tblGrid>
                  <w:tr w:rsidR="00300C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5"/>
                        </w:tblGrid>
                        <w:tr w:rsidR="00300C68">
                          <w:tc>
                            <w:tcPr>
                              <w:tcW w:w="0" w:type="auto"/>
                              <w:tcMar>
                                <w:top w:w="0" w:type="dxa"/>
                                <w:left w:w="270" w:type="dxa"/>
                                <w:bottom w:w="135" w:type="dxa"/>
                                <w:right w:w="270" w:type="dxa"/>
                              </w:tcMar>
                              <w:hideMark/>
                            </w:tcPr>
                            <w:p w:rsidR="00300C68" w:rsidRDefault="00300C68">
                              <w:pPr>
                                <w:pStyle w:val="Heading1"/>
                                <w:spacing w:before="0" w:beforeAutospacing="0" w:after="0" w:afterAutospacing="0"/>
                                <w:rPr>
                                  <w:rFonts w:ascii="Helvetica" w:eastAsiaTheme="minorHAnsi" w:hAnsi="Helvetica" w:cs="Helvetica"/>
                                  <w:color w:val="000000"/>
                                  <w:sz w:val="39"/>
                                  <w:szCs w:val="39"/>
                                  <w:lang w:eastAsia="en-US"/>
                                </w:rPr>
                              </w:pPr>
                              <w:r>
                                <w:rPr>
                                  <w:rFonts w:ascii="Helvetica" w:eastAsiaTheme="minorHAnsi" w:hAnsi="Helvetica" w:cs="Helvetica"/>
                                  <w:color w:val="000000"/>
                                  <w:sz w:val="36"/>
                                  <w:szCs w:val="36"/>
                                  <w:lang w:eastAsia="en-US"/>
                                </w:rPr>
                                <w:lastRenderedPageBreak/>
                                <w:t>Key points:</w:t>
                              </w:r>
                              <w:r>
                                <w:rPr>
                                  <w:rFonts w:ascii="Helvetica" w:eastAsiaTheme="minorHAnsi" w:hAnsi="Helvetica" w:cs="Helvetica"/>
                                  <w:color w:val="000000"/>
                                  <w:sz w:val="33"/>
                                  <w:szCs w:val="33"/>
                                  <w:lang w:eastAsia="en-US"/>
                                </w:rPr>
                                <w:t xml:space="preserve">  </w:t>
                              </w:r>
                            </w:p>
                          </w:tc>
                        </w:tr>
                      </w:tbl>
                      <w:p w:rsidR="00300C68" w:rsidRDefault="00300C68">
                        <w:pPr>
                          <w:rPr>
                            <w:rFonts w:asciiTheme="minorHAnsi" w:hAnsiTheme="minorHAnsi" w:cstheme="minorBidi"/>
                            <w:lang w:eastAsia="en-US"/>
                          </w:rPr>
                        </w:pPr>
                      </w:p>
                    </w:tc>
                  </w:tr>
                </w:tbl>
                <w:p w:rsidR="00300C68" w:rsidRDefault="00300C68">
                  <w:pPr>
                    <w:rPr>
                      <w:vanish/>
                      <w:lang w:eastAsia="en-US"/>
                    </w:rPr>
                  </w:pPr>
                </w:p>
                <w:tbl>
                  <w:tblPr>
                    <w:tblW w:w="5000" w:type="pct"/>
                    <w:tblCellMar>
                      <w:left w:w="0" w:type="dxa"/>
                      <w:right w:w="0" w:type="dxa"/>
                    </w:tblCellMar>
                    <w:tblLook w:val="04A0" w:firstRow="1" w:lastRow="0" w:firstColumn="1" w:lastColumn="0" w:noHBand="0" w:noVBand="1"/>
                  </w:tblPr>
                  <w:tblGrid>
                    <w:gridCol w:w="8995"/>
                  </w:tblGrid>
                  <w:tr w:rsidR="00300C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5"/>
                        </w:tblGrid>
                        <w:tr w:rsidR="00300C68">
                          <w:tc>
                            <w:tcPr>
                              <w:tcW w:w="0" w:type="auto"/>
                              <w:tcMar>
                                <w:top w:w="0" w:type="dxa"/>
                                <w:left w:w="270" w:type="dxa"/>
                                <w:bottom w:w="135" w:type="dxa"/>
                                <w:right w:w="270" w:type="dxa"/>
                              </w:tcMar>
                              <w:hideMark/>
                            </w:tcPr>
                            <w:p w:rsidR="00300C68" w:rsidRDefault="00300C68">
                              <w:pPr>
                                <w:pStyle w:val="Heading2"/>
                                <w:spacing w:before="0" w:beforeAutospacing="0" w:after="0" w:afterAutospacing="0"/>
                                <w:rPr>
                                  <w:rFonts w:ascii="Helvetica" w:eastAsiaTheme="minorHAnsi" w:hAnsi="Helvetica" w:cs="Helvetica"/>
                                  <w:color w:val="000000"/>
                                  <w:sz w:val="30"/>
                                  <w:szCs w:val="30"/>
                                  <w:lang w:eastAsia="en-US"/>
                                </w:rPr>
                              </w:pPr>
                              <w:r>
                                <w:rPr>
                                  <w:rFonts w:ascii="Helvetica" w:eastAsiaTheme="minorHAnsi" w:hAnsi="Helvetica" w:cs="Helvetica"/>
                                  <w:color w:val="000000"/>
                                  <w:sz w:val="30"/>
                                  <w:szCs w:val="30"/>
                                  <w:lang w:eastAsia="en-US"/>
                                </w:rPr>
                                <w:t>The need for local context</w:t>
                              </w:r>
                            </w:p>
                            <w:p w:rsidR="00300C68" w:rsidRDefault="00300C68">
                              <w:pPr>
                                <w:pStyle w:val="NormalWeb"/>
                                <w:spacing w:line="360" w:lineRule="auto"/>
                                <w:rPr>
                                  <w:rFonts w:ascii="Helvetica" w:hAnsi="Helvetica" w:cs="Helvetica"/>
                                  <w:color w:val="000000"/>
                                  <w:sz w:val="21"/>
                                  <w:szCs w:val="21"/>
                                  <w:lang w:eastAsia="en-US"/>
                                </w:rPr>
                              </w:pPr>
                              <w:r>
                                <w:rPr>
                                  <w:rFonts w:ascii="Helvetica" w:hAnsi="Helvetica" w:cs="Helvetica"/>
                                  <w:color w:val="000000"/>
                                  <w:sz w:val="21"/>
                                  <w:szCs w:val="21"/>
                                  <w:lang w:eastAsia="en-US"/>
                                </w:rPr>
                                <w:t>An understanding of what social value means within the local context is crucial to achieving the goals of the Act. Yet there is a limited reserve of this kind of expertise in the adjudication process of tendering contracts, particularly at the local level due to the massive strain on resources since austerity.</w:t>
                              </w:r>
                              <w:r>
                                <w:rPr>
                                  <w:rFonts w:ascii="Helvetica" w:hAnsi="Helvetica" w:cs="Helvetica"/>
                                  <w:color w:val="000000"/>
                                  <w:sz w:val="21"/>
                                  <w:szCs w:val="21"/>
                                  <w:lang w:eastAsia="en-US"/>
                                </w:rPr>
                                <w:br/>
                              </w:r>
                              <w:r>
                                <w:rPr>
                                  <w:rFonts w:ascii="Helvetica" w:hAnsi="Helvetica" w:cs="Helvetica"/>
                                  <w:color w:val="000000"/>
                                  <w:sz w:val="21"/>
                                  <w:szCs w:val="21"/>
                                  <w:lang w:eastAsia="en-US"/>
                                </w:rPr>
                                <w:br/>
                                <w:t>If the social value requirement in a tender is unclear, it bakes vagueness into the process. It is from these concerns that the need to arrive at a certain universalism in social value commissioning arises. Commissioners told us of frustration with companies providing “fairly standard” examples, while providers spoke of a lack of clarity or direction in what is required. Context, as well as training, awareness and understanding is needed on both sides of the process.</w:t>
                              </w:r>
                            </w:p>
                            <w:p w:rsidR="00300C68" w:rsidRDefault="00300C68">
                              <w:pPr>
                                <w:pStyle w:val="Heading2"/>
                                <w:spacing w:before="0" w:beforeAutospacing="0" w:after="0" w:afterAutospacing="0"/>
                                <w:rPr>
                                  <w:rFonts w:ascii="Helvetica" w:eastAsiaTheme="minorHAnsi" w:hAnsi="Helvetica" w:cs="Helvetica"/>
                                  <w:color w:val="000000"/>
                                  <w:sz w:val="30"/>
                                  <w:szCs w:val="30"/>
                                  <w:lang w:eastAsia="en-US"/>
                                </w:rPr>
                              </w:pPr>
                              <w:r>
                                <w:rPr>
                                  <w:rFonts w:ascii="Helvetica" w:eastAsiaTheme="minorHAnsi" w:hAnsi="Helvetica" w:cs="Helvetica"/>
                                  <w:color w:val="000000"/>
                                  <w:sz w:val="30"/>
                                  <w:szCs w:val="30"/>
                                  <w:lang w:eastAsia="en-US"/>
                                </w:rPr>
                                <w:t>The need for consistency</w:t>
                              </w:r>
                            </w:p>
                            <w:p w:rsidR="00300C68" w:rsidRDefault="00300C68">
                              <w:pPr>
                                <w:pStyle w:val="NormalWeb"/>
                                <w:spacing w:line="360" w:lineRule="auto"/>
                                <w:rPr>
                                  <w:rFonts w:ascii="Helvetica" w:hAnsi="Helvetica" w:cs="Helvetica"/>
                                  <w:color w:val="000000"/>
                                  <w:sz w:val="21"/>
                                  <w:szCs w:val="21"/>
                                  <w:lang w:eastAsia="en-US"/>
                                </w:rPr>
                              </w:pPr>
                              <w:r>
                                <w:rPr>
                                  <w:rFonts w:ascii="Helvetica" w:hAnsi="Helvetica" w:cs="Helvetica"/>
                                  <w:color w:val="000000"/>
                                  <w:sz w:val="21"/>
                                  <w:szCs w:val="21"/>
                                  <w:lang w:eastAsia="en-US"/>
                                </w:rPr>
                                <w:t>One senior local government official described social value as ‘candy floss without a stick’ – it needs something to hold it together. For social value to be at its most effective, there must be coordination across silos. This can be especially difficult in local government due to organisational fragmentation necessitated by the wide variety of roles councils play. It is important for different departments to have a shared understanding of local priorities, which themselves must be defined through consultation and engagement. If applied in a piecemeal way with varying levels of commitment, the social impact of procurement may fail to become tangibly beneficial.</w:t>
                              </w:r>
                            </w:p>
                            <w:p w:rsidR="00300C68" w:rsidRDefault="00300C68">
                              <w:pPr>
                                <w:pStyle w:val="Heading2"/>
                                <w:spacing w:before="0" w:beforeAutospacing="0" w:after="0" w:afterAutospacing="0"/>
                                <w:rPr>
                                  <w:rFonts w:ascii="Helvetica" w:eastAsiaTheme="minorHAnsi" w:hAnsi="Helvetica" w:cs="Helvetica"/>
                                  <w:color w:val="000000"/>
                                  <w:sz w:val="30"/>
                                  <w:szCs w:val="30"/>
                                  <w:lang w:eastAsia="en-US"/>
                                </w:rPr>
                              </w:pPr>
                              <w:r>
                                <w:rPr>
                                  <w:rFonts w:ascii="Helvetica" w:eastAsiaTheme="minorHAnsi" w:hAnsi="Helvetica" w:cs="Helvetica"/>
                                  <w:color w:val="000000"/>
                                  <w:sz w:val="30"/>
                                  <w:szCs w:val="30"/>
                                  <w:lang w:eastAsia="en-US"/>
                                </w:rPr>
                                <w:t>Improving accountability</w:t>
                              </w:r>
                            </w:p>
                            <w:p w:rsidR="00300C68" w:rsidRDefault="00300C68">
                              <w:pPr>
                                <w:pStyle w:val="NormalWeb"/>
                                <w:spacing w:line="360" w:lineRule="auto"/>
                                <w:rPr>
                                  <w:rFonts w:ascii="Helvetica" w:hAnsi="Helvetica" w:cs="Helvetica"/>
                                  <w:color w:val="000000"/>
                                  <w:sz w:val="21"/>
                                  <w:szCs w:val="21"/>
                                  <w:lang w:eastAsia="en-US"/>
                                </w:rPr>
                              </w:pPr>
                              <w:r>
                                <w:rPr>
                                  <w:rFonts w:ascii="Helvetica" w:hAnsi="Helvetica" w:cs="Helvetica"/>
                                  <w:color w:val="000000"/>
                                  <w:sz w:val="21"/>
                                  <w:szCs w:val="21"/>
                                  <w:lang w:eastAsia="en-US"/>
                                </w:rPr>
                                <w:t xml:space="preserve">At the back end of the procurement process, the lack of follow-up on social value pledges is a major issue with the implementation of the Social Value Act. This, again, often comes down to the severe resource constraints in which local government commissioners operate. Legal obligations, particularly if attached to locally-agreed priorities and values, could augment other ‘bottom-up’ forms of accountability such as satisfaction ratings in league tables, long considered to be ‘blunt tools’ for delivering positive outcome. A social value break clause would be an answer to calls for more productive accountability measures in the public sector. This would focus on getting local priorities straight and the </w:t>
                              </w:r>
                              <w:r>
                                <w:rPr>
                                  <w:rFonts w:ascii="Helvetica" w:hAnsi="Helvetica" w:cs="Helvetica"/>
                                  <w:color w:val="000000"/>
                                  <w:sz w:val="21"/>
                                  <w:szCs w:val="21"/>
                                  <w:lang w:eastAsia="en-US"/>
                                </w:rPr>
                                <w:lastRenderedPageBreak/>
                                <w:t>social value offer clear at the very outset rather than a blame game in the aftermath.</w:t>
                              </w:r>
                              <w:r>
                                <w:rPr>
                                  <w:rFonts w:ascii="Helvetica" w:hAnsi="Helvetica" w:cs="Helvetica"/>
                                  <w:color w:val="000000"/>
                                  <w:sz w:val="21"/>
                                  <w:szCs w:val="21"/>
                                  <w:lang w:eastAsia="en-US"/>
                                </w:rPr>
                                <w:br/>
                                <w:t> </w:t>
                              </w:r>
                            </w:p>
                            <w:p w:rsidR="00300C68" w:rsidRDefault="00300C68">
                              <w:pPr>
                                <w:pStyle w:val="NormalWeb"/>
                                <w:spacing w:line="360" w:lineRule="auto"/>
                                <w:rPr>
                                  <w:rFonts w:ascii="Helvetica" w:hAnsi="Helvetica" w:cs="Helvetica"/>
                                  <w:color w:val="000000"/>
                                  <w:sz w:val="21"/>
                                  <w:szCs w:val="21"/>
                                  <w:lang w:eastAsia="en-US"/>
                                </w:rPr>
                              </w:pPr>
                              <w:r>
                                <w:rPr>
                                  <w:rFonts w:ascii="Helvetica" w:hAnsi="Helvetica" w:cs="Helvetica"/>
                                  <w:color w:val="000000"/>
                                  <w:sz w:val="21"/>
                                  <w:szCs w:val="21"/>
                                  <w:lang w:eastAsia="en-US"/>
                                </w:rPr>
                                <w:t> </w:t>
                              </w:r>
                            </w:p>
                          </w:tc>
                        </w:tr>
                      </w:tbl>
                      <w:p w:rsidR="00300C68" w:rsidRDefault="00300C68">
                        <w:pPr>
                          <w:rPr>
                            <w:rFonts w:asciiTheme="minorHAnsi" w:hAnsiTheme="minorHAnsi" w:cstheme="minorBidi"/>
                            <w:lang w:eastAsia="en-US"/>
                          </w:rPr>
                        </w:pPr>
                      </w:p>
                    </w:tc>
                  </w:tr>
                </w:tbl>
                <w:p w:rsidR="00300C68" w:rsidRDefault="00300C68">
                  <w:pPr>
                    <w:rPr>
                      <w:vanish/>
                      <w:lang w:eastAsia="en-US"/>
                    </w:rPr>
                  </w:pPr>
                </w:p>
                <w:tbl>
                  <w:tblPr>
                    <w:tblW w:w="5000" w:type="pct"/>
                    <w:tblCellMar>
                      <w:left w:w="0" w:type="dxa"/>
                      <w:right w:w="0" w:type="dxa"/>
                    </w:tblCellMar>
                    <w:tblLook w:val="04A0" w:firstRow="1" w:lastRow="0" w:firstColumn="1" w:lastColumn="0" w:noHBand="0" w:noVBand="1"/>
                  </w:tblPr>
                  <w:tblGrid>
                    <w:gridCol w:w="8995"/>
                  </w:tblGrid>
                  <w:tr w:rsidR="00300C68">
                    <w:trPr>
                      <w:hidden/>
                    </w:trPr>
                    <w:tc>
                      <w:tcPr>
                        <w:tcW w:w="0" w:type="auto"/>
                        <w:tcMar>
                          <w:top w:w="0" w:type="dxa"/>
                          <w:left w:w="270" w:type="dxa"/>
                          <w:bottom w:w="0" w:type="dxa"/>
                          <w:right w:w="270" w:type="dxa"/>
                        </w:tcMar>
                        <w:vAlign w:val="center"/>
                        <w:hideMark/>
                      </w:tcPr>
                      <w:tbl>
                        <w:tblPr>
                          <w:tblW w:w="5000" w:type="pct"/>
                          <w:tblBorders>
                            <w:top w:val="single" w:sz="6" w:space="0" w:color="452469"/>
                          </w:tblBorders>
                          <w:tblCellMar>
                            <w:left w:w="0" w:type="dxa"/>
                            <w:right w:w="0" w:type="dxa"/>
                          </w:tblCellMar>
                          <w:tblLook w:val="04A0" w:firstRow="1" w:lastRow="0" w:firstColumn="1" w:lastColumn="0" w:noHBand="0" w:noVBand="1"/>
                        </w:tblPr>
                        <w:tblGrid>
                          <w:gridCol w:w="8455"/>
                        </w:tblGrid>
                        <w:tr w:rsidR="00300C68">
                          <w:trPr>
                            <w:hidden/>
                          </w:trPr>
                          <w:tc>
                            <w:tcPr>
                              <w:tcW w:w="0" w:type="auto"/>
                              <w:tcBorders>
                                <w:top w:val="single" w:sz="6" w:space="0" w:color="452469"/>
                                <w:left w:val="nil"/>
                                <w:bottom w:val="nil"/>
                                <w:right w:val="nil"/>
                              </w:tcBorders>
                              <w:vAlign w:val="center"/>
                              <w:hideMark/>
                            </w:tcPr>
                            <w:p w:rsidR="00300C68" w:rsidRDefault="00300C68">
                              <w:pPr>
                                <w:rPr>
                                  <w:vanish/>
                                  <w:lang w:eastAsia="en-US"/>
                                </w:rPr>
                              </w:pPr>
                            </w:p>
                          </w:tc>
                        </w:tr>
                      </w:tbl>
                      <w:p w:rsidR="00300C68" w:rsidRDefault="00300C68">
                        <w:pPr>
                          <w:rPr>
                            <w:rFonts w:asciiTheme="minorHAnsi" w:hAnsiTheme="minorHAnsi" w:cstheme="minorBidi"/>
                            <w:lang w:eastAsia="en-US"/>
                          </w:rPr>
                        </w:pPr>
                      </w:p>
                    </w:tc>
                  </w:tr>
                </w:tbl>
                <w:p w:rsidR="00300C68" w:rsidRDefault="00300C68">
                  <w:pPr>
                    <w:rPr>
                      <w:vanish/>
                      <w:lang w:eastAsia="en-US"/>
                    </w:rPr>
                  </w:pPr>
                </w:p>
                <w:tbl>
                  <w:tblPr>
                    <w:tblW w:w="5000" w:type="pct"/>
                    <w:tblCellMar>
                      <w:left w:w="0" w:type="dxa"/>
                      <w:right w:w="0" w:type="dxa"/>
                    </w:tblCellMar>
                    <w:tblLook w:val="04A0" w:firstRow="1" w:lastRow="0" w:firstColumn="1" w:lastColumn="0" w:noHBand="0" w:noVBand="1"/>
                  </w:tblPr>
                  <w:tblGrid>
                    <w:gridCol w:w="8995"/>
                  </w:tblGrid>
                  <w:tr w:rsidR="00300C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5"/>
                        </w:tblGrid>
                        <w:tr w:rsidR="00300C68">
                          <w:tc>
                            <w:tcPr>
                              <w:tcW w:w="0" w:type="auto"/>
                              <w:tcMar>
                                <w:top w:w="0" w:type="dxa"/>
                                <w:left w:w="270" w:type="dxa"/>
                                <w:bottom w:w="135" w:type="dxa"/>
                                <w:right w:w="270" w:type="dxa"/>
                              </w:tcMar>
                              <w:hideMark/>
                            </w:tcPr>
                            <w:p w:rsidR="00300C68" w:rsidRDefault="00300C68">
                              <w:pPr>
                                <w:pStyle w:val="Heading2"/>
                                <w:spacing w:before="0" w:beforeAutospacing="0" w:after="0" w:afterAutospacing="0"/>
                                <w:rPr>
                                  <w:rFonts w:ascii="Helvetica" w:eastAsiaTheme="minorHAnsi" w:hAnsi="Helvetica" w:cs="Helvetica"/>
                                  <w:color w:val="000000"/>
                                  <w:sz w:val="30"/>
                                  <w:szCs w:val="30"/>
                                  <w:lang w:eastAsia="en-US"/>
                                </w:rPr>
                              </w:pPr>
                              <w:r>
                                <w:rPr>
                                  <w:rFonts w:ascii="Helvetica" w:eastAsiaTheme="minorHAnsi" w:hAnsi="Helvetica" w:cs="Helvetica"/>
                                  <w:color w:val="000000"/>
                                  <w:sz w:val="30"/>
                                  <w:szCs w:val="30"/>
                                  <w:lang w:eastAsia="en-US"/>
                                </w:rPr>
                                <w:t>Comment</w:t>
                              </w:r>
                            </w:p>
                            <w:p w:rsidR="00300C68" w:rsidRDefault="00300C68">
                              <w:pPr>
                                <w:spacing w:line="360" w:lineRule="auto"/>
                                <w:rPr>
                                  <w:rFonts w:ascii="Helvetica" w:hAnsi="Helvetica" w:cs="Helvetica"/>
                                  <w:color w:val="000000"/>
                                  <w:sz w:val="21"/>
                                  <w:szCs w:val="21"/>
                                  <w:lang w:eastAsia="en-US"/>
                                </w:rPr>
                              </w:pPr>
                              <w:r>
                                <w:rPr>
                                  <w:rFonts w:ascii="Helvetica" w:hAnsi="Helvetica" w:cs="Helvetica"/>
                                  <w:color w:val="000000"/>
                                  <w:sz w:val="21"/>
                                  <w:szCs w:val="21"/>
                                  <w:lang w:eastAsia="en-US"/>
                                </w:rPr>
                                <w:br/>
                              </w:r>
                              <w:r>
                                <w:rPr>
                                  <w:rStyle w:val="Strong"/>
                                  <w:rFonts w:ascii="Helvetica" w:hAnsi="Helvetica"/>
                                  <w:color w:val="000000"/>
                                  <w:sz w:val="21"/>
                                  <w:szCs w:val="21"/>
                                  <w:lang w:eastAsia="en-US"/>
                                </w:rPr>
                                <w:t>Localis chief executive, Jonathan Werran</w:t>
                              </w:r>
                              <w:r>
                                <w:rPr>
                                  <w:rFonts w:ascii="Helvetica" w:hAnsi="Helvetica" w:cs="Helvetica"/>
                                  <w:color w:val="000000"/>
                                  <w:sz w:val="21"/>
                                  <w:szCs w:val="21"/>
                                  <w:lang w:eastAsia="en-US"/>
                                </w:rPr>
                                <w:t xml:space="preserve"> said:</w:t>
                              </w:r>
                              <w:r>
                                <w:rPr>
                                  <w:rStyle w:val="Emphasis"/>
                                  <w:rFonts w:ascii="Helvetica" w:hAnsi="Helvetica"/>
                                  <w:color w:val="000000"/>
                                  <w:sz w:val="21"/>
                                  <w:szCs w:val="21"/>
                                  <w:lang w:eastAsia="en-US"/>
                                </w:rPr>
                                <w:t xml:space="preserve"> “During the Covid-19 pandemic everyone in society is having to drastically reorient how they go about their everyday business or deliver public services.  In this spirit, our report calls for a greater sense of human values, trust and relationship in how we generate value for our communities from the commissioning process.</w:t>
                              </w:r>
                              <w:r>
                                <w:rPr>
                                  <w:rFonts w:ascii="Helvetica" w:hAnsi="Helvetica" w:cs="Helvetica"/>
                                  <w:i/>
                                  <w:iCs/>
                                  <w:color w:val="000000"/>
                                  <w:sz w:val="21"/>
                                  <w:szCs w:val="21"/>
                                  <w:lang w:eastAsia="en-US"/>
                                </w:rPr>
                                <w:br/>
                              </w:r>
                              <w:r>
                                <w:rPr>
                                  <w:rFonts w:ascii="Helvetica" w:hAnsi="Helvetica" w:cs="Helvetica"/>
                                  <w:i/>
                                  <w:iCs/>
                                  <w:color w:val="000000"/>
                                  <w:sz w:val="21"/>
                                  <w:szCs w:val="21"/>
                                  <w:lang w:eastAsia="en-US"/>
                                </w:rPr>
                                <w:br/>
                              </w:r>
                              <w:r>
                                <w:rPr>
                                  <w:rStyle w:val="Emphasis"/>
                                  <w:rFonts w:ascii="Helvetica" w:hAnsi="Helvetica"/>
                                  <w:color w:val="000000"/>
                                  <w:sz w:val="21"/>
                                  <w:szCs w:val="21"/>
                                  <w:lang w:eastAsia="en-US"/>
                                </w:rPr>
                                <w:t>Providers must be accountable to residents, tenants and local people for both the services they deliver and the benefits agreed to when business contracts are signed during the recovery era. And these must be explained in a clear way – not through complex targets and opaque mechanisms.  Ultimately we must see strong actual proof from how local services are provided reflected in the improved lived experience of people in our communities.” </w:t>
                              </w:r>
                              <w:r>
                                <w:rPr>
                                  <w:rFonts w:ascii="Helvetica" w:hAnsi="Helvetica" w:cs="Helvetica"/>
                                  <w:color w:val="000000"/>
                                  <w:sz w:val="21"/>
                                  <w:szCs w:val="21"/>
                                  <w:lang w:eastAsia="en-US"/>
                                </w:rPr>
                                <w:br/>
                              </w:r>
                              <w:r>
                                <w:rPr>
                                  <w:rFonts w:ascii="Helvetica" w:hAnsi="Helvetica" w:cs="Helvetica"/>
                                  <w:color w:val="000000"/>
                                  <w:sz w:val="21"/>
                                  <w:szCs w:val="21"/>
                                  <w:lang w:eastAsia="en-US"/>
                                </w:rPr>
                                <w:br/>
                              </w:r>
                              <w:r>
                                <w:rPr>
                                  <w:rStyle w:val="Strong"/>
                                  <w:rFonts w:ascii="Helvetica" w:hAnsi="Helvetica"/>
                                  <w:color w:val="000000"/>
                                  <w:sz w:val="21"/>
                                  <w:szCs w:val="21"/>
                                  <w:lang w:eastAsia="en-US"/>
                                </w:rPr>
                                <w:t xml:space="preserve">Localis head of research, Joe Fyans, </w:t>
                              </w:r>
                              <w:r>
                                <w:rPr>
                                  <w:rFonts w:ascii="Helvetica" w:hAnsi="Helvetica" w:cs="Helvetica"/>
                                  <w:color w:val="000000"/>
                                  <w:sz w:val="21"/>
                                  <w:szCs w:val="21"/>
                                  <w:lang w:eastAsia="en-US"/>
                                </w:rPr>
                                <w:t xml:space="preserve">said: </w:t>
                              </w:r>
                              <w:r>
                                <w:rPr>
                                  <w:rStyle w:val="Emphasis"/>
                                  <w:rFonts w:ascii="Helvetica" w:hAnsi="Helvetica"/>
                                  <w:color w:val="000000"/>
                                  <w:sz w:val="21"/>
                                  <w:szCs w:val="21"/>
                                  <w:lang w:eastAsia="en-US"/>
                                </w:rPr>
                                <w:t>“We need a standardised language and set of clearly defined terms in social value to get the most from the legislation as it enters its second decade. For example, rather than focusing on what firms can offer off the shelf without much thought, such as training and employment, providers should have scope to provide a more locally-relevant offer that focuses on the strength of people and place in an area.”</w:t>
                              </w:r>
                              <w:r>
                                <w:rPr>
                                  <w:rFonts w:ascii="Helvetica" w:hAnsi="Helvetica" w:cs="Helvetica"/>
                                  <w:color w:val="000000"/>
                                  <w:sz w:val="21"/>
                                  <w:szCs w:val="21"/>
                                  <w:lang w:eastAsia="en-US"/>
                                </w:rPr>
                                <w:br/>
                                <w:t xml:space="preserve">  </w:t>
                              </w:r>
                            </w:p>
                            <w:p w:rsidR="00300C68" w:rsidRDefault="00300C68">
                              <w:pPr>
                                <w:pStyle w:val="Heading2"/>
                                <w:spacing w:before="0" w:beforeAutospacing="0" w:after="0" w:afterAutospacing="0"/>
                                <w:rPr>
                                  <w:rFonts w:ascii="Helvetica" w:eastAsiaTheme="minorHAnsi" w:hAnsi="Helvetica" w:cs="Helvetica"/>
                                  <w:color w:val="000000"/>
                                  <w:sz w:val="30"/>
                                  <w:szCs w:val="30"/>
                                  <w:lang w:eastAsia="en-US"/>
                                </w:rPr>
                              </w:pPr>
                              <w:r>
                                <w:rPr>
                                  <w:rFonts w:ascii="Helvetica" w:eastAsiaTheme="minorHAnsi" w:hAnsi="Helvetica" w:cs="Helvetica"/>
                                  <w:color w:val="000000"/>
                                  <w:sz w:val="30"/>
                                  <w:szCs w:val="30"/>
                                  <w:lang w:eastAsia="en-US"/>
                                </w:rPr>
                                <w:t>Project kindly supported by</w:t>
                              </w:r>
                            </w:p>
                            <w:p w:rsidR="00300C68" w:rsidRDefault="00300C68">
                              <w:pPr>
                                <w:spacing w:line="360" w:lineRule="auto"/>
                                <w:rPr>
                                  <w:rFonts w:ascii="Helvetica" w:hAnsi="Helvetica" w:cs="Helvetica"/>
                                  <w:color w:val="000000"/>
                                  <w:sz w:val="21"/>
                                  <w:szCs w:val="21"/>
                                  <w:lang w:eastAsia="en-US"/>
                                </w:rPr>
                              </w:pPr>
                              <w:r>
                                <w:rPr>
                                  <w:rFonts w:ascii="Helvetica" w:hAnsi="Helvetica" w:cs="Helvetica"/>
                                  <w:color w:val="000000"/>
                                  <w:sz w:val="21"/>
                                  <w:szCs w:val="21"/>
                                  <w:lang w:eastAsia="en-US"/>
                                </w:rPr>
                                <w:br/>
                              </w:r>
                              <w:r>
                                <w:rPr>
                                  <w:rFonts w:ascii="Helvetica" w:hAnsi="Helvetica" w:cs="Helvetica"/>
                                  <w:noProof/>
                                  <w:color w:val="000000"/>
                                  <w:sz w:val="21"/>
                                  <w:szCs w:val="21"/>
                                  <w:lang w:eastAsia="en-US"/>
                                </w:rPr>
                                <w:drawing>
                                  <wp:inline distT="0" distB="0" distL="0" distR="0">
                                    <wp:extent cx="4030980" cy="1295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0980" cy="1295400"/>
                                            </a:xfrm>
                                            <a:prstGeom prst="rect">
                                              <a:avLst/>
                                            </a:prstGeom>
                                            <a:noFill/>
                                            <a:ln>
                                              <a:noFill/>
                                            </a:ln>
                                          </pic:spPr>
                                        </pic:pic>
                                      </a:graphicData>
                                    </a:graphic>
                                  </wp:inline>
                                </w:drawing>
                              </w:r>
                              <w:r>
                                <w:rPr>
                                  <w:rFonts w:ascii="Helvetica" w:hAnsi="Helvetica" w:cs="Helvetica"/>
                                  <w:color w:val="000000"/>
                                  <w:sz w:val="21"/>
                                  <w:szCs w:val="21"/>
                                  <w:lang w:eastAsia="en-US"/>
                                </w:rPr>
                                <w:br/>
                              </w:r>
                              <w:r>
                                <w:rPr>
                                  <w:rFonts w:ascii="Helvetica" w:hAnsi="Helvetica" w:cs="Helvetica"/>
                                  <w:color w:val="000000"/>
                                  <w:sz w:val="21"/>
                                  <w:szCs w:val="21"/>
                                  <w:lang w:eastAsia="en-US"/>
                                </w:rPr>
                                <w:br/>
                                <w:t xml:space="preserve">  </w:t>
                              </w:r>
                            </w:p>
                          </w:tc>
                        </w:tr>
                      </w:tbl>
                      <w:p w:rsidR="00300C68" w:rsidRDefault="00300C68">
                        <w:pPr>
                          <w:rPr>
                            <w:rFonts w:asciiTheme="minorHAnsi" w:hAnsiTheme="minorHAnsi" w:cstheme="minorBidi"/>
                            <w:lang w:eastAsia="en-US"/>
                          </w:rPr>
                        </w:pPr>
                      </w:p>
                    </w:tc>
                  </w:tr>
                </w:tbl>
                <w:p w:rsidR="00300C68" w:rsidRDefault="00300C68">
                  <w:pPr>
                    <w:rPr>
                      <w:rFonts w:asciiTheme="minorHAnsi" w:hAnsiTheme="minorHAnsi" w:cstheme="minorBidi"/>
                      <w:lang w:eastAsia="en-US"/>
                    </w:rPr>
                  </w:pPr>
                </w:p>
              </w:tc>
            </w:tr>
          </w:tbl>
          <w:p w:rsidR="00300C68" w:rsidRDefault="00300C68">
            <w:pPr>
              <w:jc w:val="center"/>
              <w:rPr>
                <w:rFonts w:asciiTheme="minorHAnsi" w:hAnsiTheme="minorHAnsi" w:cstheme="minorBidi"/>
                <w:lang w:eastAsia="en-US"/>
              </w:rPr>
            </w:pPr>
          </w:p>
        </w:tc>
      </w:tr>
    </w:tbl>
    <w:p w:rsidR="00300C68" w:rsidRPr="00300C68" w:rsidRDefault="00300C68" w:rsidP="00300C68"/>
    <w:sectPr w:rsidR="00300C68" w:rsidRPr="00300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68"/>
    <w:rsid w:val="0030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83A8307-47EE-456F-9BEE-47E500F9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68"/>
    <w:pPr>
      <w:spacing w:after="0" w:line="240" w:lineRule="auto"/>
    </w:pPr>
    <w:rPr>
      <w:rFonts w:ascii="Calibri" w:hAnsi="Calibri" w:cs="Calibri"/>
      <w:lang w:eastAsia="en-GB"/>
    </w:rPr>
  </w:style>
  <w:style w:type="paragraph" w:styleId="Heading1">
    <w:name w:val="heading 1"/>
    <w:basedOn w:val="Normal"/>
    <w:link w:val="Heading1Char"/>
    <w:uiPriority w:val="9"/>
    <w:qFormat/>
    <w:rsid w:val="00300C6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300C6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C68"/>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300C68"/>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300C68"/>
    <w:rPr>
      <w:color w:val="0000FF"/>
      <w:u w:val="single"/>
    </w:rPr>
  </w:style>
  <w:style w:type="paragraph" w:styleId="NormalWeb">
    <w:name w:val="Normal (Web)"/>
    <w:basedOn w:val="Normal"/>
    <w:uiPriority w:val="99"/>
    <w:semiHidden/>
    <w:unhideWhenUsed/>
    <w:rsid w:val="00300C68"/>
    <w:pPr>
      <w:spacing w:before="100" w:beforeAutospacing="1" w:after="100" w:afterAutospacing="1"/>
    </w:pPr>
  </w:style>
  <w:style w:type="character" w:styleId="Strong">
    <w:name w:val="Strong"/>
    <w:basedOn w:val="DefaultParagraphFont"/>
    <w:uiPriority w:val="22"/>
    <w:qFormat/>
    <w:rsid w:val="00300C68"/>
    <w:rPr>
      <w:b/>
      <w:bCs/>
    </w:rPr>
  </w:style>
  <w:style w:type="character" w:styleId="Emphasis">
    <w:name w:val="Emphasis"/>
    <w:basedOn w:val="DefaultParagraphFont"/>
    <w:uiPriority w:val="20"/>
    <w:qFormat/>
    <w:rsid w:val="00300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localis.us6.list-manage.com/track/click?u=b7e69a489bdd0219d598d0d04&amp;id=5d11d4f888&amp;e=e3b028cf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mailchi.mp/localis/brighten-all-corners?e=e3b028cf94"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Werran</dc:creator>
  <cp:keywords/>
  <dc:description/>
  <cp:lastModifiedBy>Jonathan Werran</cp:lastModifiedBy>
  <cp:revision>1</cp:revision>
  <dcterms:created xsi:type="dcterms:W3CDTF">2020-05-11T18:25:00Z</dcterms:created>
  <dcterms:modified xsi:type="dcterms:W3CDTF">2020-05-11T18:27:00Z</dcterms:modified>
</cp:coreProperties>
</file>